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4099"/>
        <w:jc w:val="center"/>
        <w:rPr>
          <w:rFonts w:ascii="Arial" w:cs="Arial" w:hAnsi="Arial"/>
          <w:b/>
          <w:sz w:val="28"/>
          <w:szCs w:val="28"/>
        </w:rPr>
      </w:pPr>
      <w:bookmarkStart w:id="0" w:name="_Hlk71095862"/>
      <w:r>
        <w:rPr>
          <w:rFonts w:ascii="Arial" w:cs="Arial" w:hAnsi="Arial"/>
          <w:b/>
          <w:sz w:val="28"/>
          <w:szCs w:val="28"/>
        </w:rPr>
        <w:t>Assessment ID/CIPD_5CO01_25_01</w:t>
      </w:r>
    </w:p>
    <w:bookmarkEnd w:id="0"/>
    <w:p>
      <w:pPr>
        <w:pStyle w:val="style4099"/>
        <w:jc w:val="center"/>
        <w:rPr>
          <w:rFonts w:ascii="Arial" w:cs="Arial" w:hAnsi="Arial"/>
          <w:b/>
          <w:sz w:val="28"/>
          <w:szCs w:val="28"/>
        </w:rPr>
      </w:pPr>
      <w:r>
        <w:rPr>
          <w:rFonts w:ascii="Arial" w:cs="Arial" w:hAnsi="Arial"/>
          <w:b/>
          <w:sz w:val="28"/>
          <w:szCs w:val="28"/>
        </w:rPr>
        <w:t>Organisational performance and culture in practice</w:t>
      </w:r>
    </w:p>
    <w:p>
      <w:pPr>
        <w:pStyle w:val="style4099"/>
        <w:jc w:val="center"/>
        <w:rPr>
          <w:rFonts w:ascii="Arial" w:cs="Arial" w:hAnsi="Arial"/>
        </w:rPr>
      </w:pPr>
    </w:p>
    <w:tbl>
      <w:tblPr>
        <w:tblW w:w="4974" w:type="pct"/>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a20bc5"/>
        <w:tblLayout w:type="fixed"/>
        <w:tblCellMar>
          <w:top w:w="113" w:type="dxa"/>
          <w:left w:w="170" w:type="dxa"/>
          <w:bottom w:w="113" w:type="dxa"/>
          <w:right w:w="170" w:type="dxa"/>
        </w:tblCellMar>
        <w:tblLook w:val="04A0" w:firstRow="1" w:lastRow="0" w:firstColumn="1" w:lastColumn="0" w:noHBand="0" w:noVBand="1"/>
      </w:tblPr>
      <w:tblGrid>
        <w:gridCol w:w="560"/>
        <w:gridCol w:w="9531"/>
      </w:tblGrid>
      <w:tr>
        <w:trPr/>
        <w:tc>
          <w:tcPr>
            <w:tcW w:w="568" w:type="dxa"/>
            <w:tcBorders/>
            <w:shd w:val="clear" w:color="auto" w:fill="347789"/>
            <w:vAlign w:val="center"/>
          </w:tcPr>
          <w:p>
            <w:pPr>
              <w:pStyle w:val="style0"/>
              <w:jc w:val="center"/>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9921" w:type="dxa"/>
            <w:tcBorders/>
            <w:shd w:val="clear" w:color="auto" w:fill="347789"/>
            <w:vAlign w:val="center"/>
          </w:tcPr>
          <w:p>
            <w:pPr>
              <w:pStyle w:val="style4097"/>
              <w:rPr>
                <w:color w:val="ffffff"/>
              </w:rPr>
            </w:pPr>
            <w:r>
              <w:rPr>
                <w:color w:val="ffffff"/>
              </w:rPr>
              <w:t>LEARNER INSTRUCTIONS</w:t>
            </w:r>
          </w:p>
        </w:tc>
      </w:tr>
    </w:tbl>
    <w:p>
      <w:pPr>
        <w:pStyle w:val="style4100"/>
        <w:spacing w:before="0" w:after="0"/>
        <w:rPr>
          <w:rFonts w:cs="Arial"/>
        </w:rPr>
      </w:pPr>
    </w:p>
    <w:p>
      <w:pPr>
        <w:pStyle w:val="style4100"/>
        <w:spacing w:after="0"/>
        <w:ind w:left="142"/>
        <w:rPr>
          <w:rFonts w:cs="Arial"/>
          <w:bCs/>
          <w:sz w:val="22"/>
          <w:szCs w:val="24"/>
        </w:rPr>
      </w:pPr>
      <w:r>
        <w:rPr>
          <w:rFonts w:cs="Arial"/>
          <w:sz w:val="22"/>
          <w:szCs w:val="24"/>
        </w:rPr>
        <w:t xml:space="preserve">The assessment has been developed to enable you to evidence achievement of the learning outcomes and assessment criteria for </w:t>
      </w:r>
      <w:r>
        <w:rPr>
          <w:rFonts w:cs="Arial"/>
          <w:b/>
          <w:bCs/>
          <w:i/>
          <w:iCs/>
          <w:sz w:val="22"/>
          <w:szCs w:val="24"/>
        </w:rPr>
        <w:t>5CO01</w:t>
      </w:r>
      <w:r>
        <w:rPr>
          <w:rFonts w:cs="Arial"/>
          <w:sz w:val="22"/>
          <w:szCs w:val="24"/>
        </w:rPr>
        <w:t xml:space="preserve"> </w:t>
      </w:r>
      <w:r>
        <w:rPr>
          <w:rFonts w:cs="Arial"/>
          <w:b/>
          <w:i/>
          <w:iCs/>
          <w:sz w:val="22"/>
          <w:szCs w:val="24"/>
        </w:rPr>
        <w:t>Organisational performance and culture in practice.</w:t>
      </w:r>
    </w:p>
    <w:p>
      <w:pPr>
        <w:pStyle w:val="style4100"/>
        <w:spacing w:before="0" w:after="0"/>
        <w:ind w:left="142"/>
        <w:rPr>
          <w:rFonts w:cs="Arial"/>
          <w:sz w:val="22"/>
          <w:szCs w:val="24"/>
        </w:rPr>
      </w:pPr>
    </w:p>
    <w:p>
      <w:pPr>
        <w:pStyle w:val="style4100"/>
        <w:spacing w:before="0" w:after="0"/>
        <w:ind w:left="142"/>
        <w:rPr>
          <w:rFonts w:cs="Arial"/>
          <w:sz w:val="22"/>
          <w:szCs w:val="24"/>
        </w:rPr>
      </w:pPr>
      <w:r>
        <w:rPr>
          <w:rFonts w:cs="Arial"/>
          <w:sz w:val="22"/>
          <w:szCs w:val="24"/>
        </w:rPr>
        <w:t>Each of the learning outcomes (LO) and assessment criteria (AC) for the assessment must gain a pass outcome for you to successfully achieve the unit.</w:t>
      </w:r>
    </w:p>
    <w:p>
      <w:pPr>
        <w:pStyle w:val="style4098"/>
        <w:numPr>
          <w:ilvl w:val="0"/>
          <w:numId w:val="0"/>
        </w:numPr>
        <w:spacing w:before="0" w:after="0"/>
        <w:ind w:left="142"/>
        <w:rPr>
          <w:rFonts w:ascii="Arial" w:cs="Arial" w:hAnsi="Arial"/>
          <w:sz w:val="22"/>
          <w:szCs w:val="24"/>
        </w:rPr>
      </w:pPr>
    </w:p>
    <w:p>
      <w:pPr>
        <w:pStyle w:val="style4098"/>
        <w:numPr>
          <w:ilvl w:val="0"/>
          <w:numId w:val="0"/>
        </w:numPr>
        <w:spacing w:before="0" w:after="0"/>
        <w:ind w:left="142"/>
        <w:rPr>
          <w:rFonts w:ascii="Arial" w:cs="Arial" w:hAnsi="Arial"/>
          <w:sz w:val="22"/>
          <w:szCs w:val="24"/>
        </w:rPr>
      </w:pPr>
      <w:r>
        <w:rPr>
          <w:rFonts w:ascii="Arial" w:cs="Arial" w:hAnsi="Arial"/>
          <w:sz w:val="22"/>
          <w:szCs w:val="24"/>
        </w:rPr>
        <w:t>Preparation for the assessment</w:t>
      </w:r>
    </w:p>
    <w:p>
      <w:pPr>
        <w:pStyle w:val="style4098"/>
        <w:numPr>
          <w:ilvl w:val="0"/>
          <w:numId w:val="0"/>
        </w:numPr>
        <w:spacing w:before="0" w:after="0"/>
        <w:ind w:left="142"/>
        <w:rPr>
          <w:rFonts w:ascii="Arial" w:cs="Arial" w:hAnsi="Arial"/>
          <w:sz w:val="22"/>
          <w:szCs w:val="24"/>
        </w:rPr>
      </w:pPr>
    </w:p>
    <w:p>
      <w:pPr>
        <w:pStyle w:val="style4100"/>
        <w:spacing w:before="0" w:after="0"/>
        <w:ind w:left="142"/>
        <w:rPr>
          <w:rFonts w:cs="Arial"/>
          <w:sz w:val="22"/>
          <w:szCs w:val="24"/>
        </w:rPr>
      </w:pPr>
      <w:r>
        <w:rPr>
          <w:rFonts w:cs="Arial"/>
          <w:sz w:val="22"/>
          <w:szCs w:val="24"/>
        </w:rPr>
        <w:t xml:space="preserve">Before you begin the assessment, please access and complete the </w:t>
      </w:r>
      <w:r>
        <w:rPr>
          <w:rFonts w:cs="Arial"/>
          <w:b/>
          <w:bCs/>
          <w:sz w:val="22"/>
          <w:szCs w:val="24"/>
        </w:rPr>
        <w:t>topic essentials videos</w:t>
      </w:r>
      <w:r>
        <w:rPr>
          <w:rFonts w:cs="Arial"/>
          <w:sz w:val="22"/>
          <w:szCs w:val="24"/>
        </w:rPr>
        <w:t xml:space="preserve">, </w:t>
      </w:r>
      <w:r>
        <w:rPr>
          <w:rFonts w:cs="Arial"/>
          <w:b/>
          <w:bCs/>
          <w:sz w:val="22"/>
          <w:szCs w:val="24"/>
        </w:rPr>
        <w:t>activities</w:t>
      </w:r>
      <w:r>
        <w:rPr>
          <w:rFonts w:cs="Arial"/>
          <w:sz w:val="22"/>
          <w:szCs w:val="24"/>
        </w:rPr>
        <w:t xml:space="preserve"> and the </w:t>
      </w:r>
      <w:r>
        <w:rPr>
          <w:rFonts w:cs="Arial"/>
          <w:b/>
          <w:bCs/>
          <w:sz w:val="22"/>
          <w:szCs w:val="24"/>
        </w:rPr>
        <w:t>assessment guide video</w:t>
      </w:r>
      <w:r>
        <w:rPr>
          <w:rFonts w:cs="Arial"/>
          <w:sz w:val="22"/>
          <w:szCs w:val="24"/>
        </w:rPr>
        <w:t xml:space="preserve"> available via your virtual learning environment (VLE).</w:t>
      </w:r>
    </w:p>
    <w:p>
      <w:pPr>
        <w:pStyle w:val="style4098"/>
        <w:numPr>
          <w:ilvl w:val="0"/>
          <w:numId w:val="0"/>
        </w:numPr>
        <w:spacing w:before="0" w:after="0"/>
        <w:ind w:left="142"/>
        <w:rPr>
          <w:rFonts w:ascii="Arial" w:cs="Arial" w:hAnsi="Arial"/>
          <w:sz w:val="22"/>
          <w:szCs w:val="24"/>
        </w:rPr>
      </w:pPr>
    </w:p>
    <w:p>
      <w:pPr>
        <w:pStyle w:val="style4098"/>
        <w:numPr>
          <w:ilvl w:val="0"/>
          <w:numId w:val="0"/>
        </w:numPr>
        <w:spacing w:before="0" w:after="0"/>
        <w:ind w:left="142"/>
        <w:rPr>
          <w:rFonts w:ascii="Arial" w:cs="Arial" w:hAnsi="Arial"/>
          <w:sz w:val="22"/>
          <w:szCs w:val="24"/>
        </w:rPr>
      </w:pPr>
      <w:r>
        <w:rPr>
          <w:rFonts w:ascii="Arial" w:cs="Arial" w:hAnsi="Arial"/>
          <w:sz w:val="22"/>
          <w:szCs w:val="24"/>
        </w:rPr>
        <w:t>Completing the assessment</w:t>
      </w:r>
    </w:p>
    <w:p>
      <w:pPr>
        <w:pStyle w:val="style4098"/>
        <w:numPr>
          <w:ilvl w:val="0"/>
          <w:numId w:val="0"/>
        </w:numPr>
        <w:spacing w:before="0" w:after="0"/>
        <w:rPr>
          <w:rFonts w:ascii="Arial" w:cs="Arial" w:hAnsi="Arial"/>
          <w:sz w:val="22"/>
          <w:szCs w:val="24"/>
        </w:rPr>
      </w:pPr>
    </w:p>
    <w:bookmarkStart w:id="1" w:name="_Hlk71100669"/>
    <w:p>
      <w:pPr>
        <w:pStyle w:val="style4100"/>
        <w:numPr>
          <w:ilvl w:val="0"/>
          <w:numId w:val="4"/>
        </w:numPr>
        <w:spacing w:before="0" w:after="0"/>
        <w:rPr>
          <w:rFonts w:cs="Arial"/>
          <w:sz w:val="22"/>
          <w:szCs w:val="24"/>
        </w:rPr>
      </w:pPr>
      <w:r>
        <w:rPr>
          <w:rFonts w:cs="Arial"/>
          <w:sz w:val="22"/>
          <w:szCs w:val="24"/>
        </w:rPr>
        <w:t>The assessment contains a series of tasks/questions which are clearly referenced to the relevant assessment criteria.</w:t>
      </w:r>
    </w:p>
    <w:p>
      <w:pPr>
        <w:pStyle w:val="style4100"/>
        <w:numPr>
          <w:ilvl w:val="0"/>
          <w:numId w:val="4"/>
        </w:numPr>
        <w:spacing w:before="0" w:after="0"/>
        <w:rPr>
          <w:rFonts w:cs="Arial"/>
          <w:sz w:val="22"/>
          <w:szCs w:val="24"/>
        </w:rPr>
      </w:pPr>
      <w:r>
        <w:rPr>
          <w:rFonts w:cs="Arial"/>
          <w:sz w:val="22"/>
          <w:szCs w:val="24"/>
        </w:rPr>
        <w:t>Refer to the generic grade descriptor grid at the end of the assessment, which outlines the requirements.</w:t>
      </w:r>
    </w:p>
    <w:bookmarkStart w:id="2" w:name="_Hlk71096401"/>
    <w:p>
      <w:pPr>
        <w:pStyle w:val="style4100"/>
        <w:numPr>
          <w:ilvl w:val="0"/>
          <w:numId w:val="4"/>
        </w:numPr>
        <w:spacing w:before="0" w:after="0"/>
        <w:rPr>
          <w:rFonts w:cs="Arial"/>
          <w:sz w:val="22"/>
          <w:szCs w:val="24"/>
        </w:rPr>
      </w:pPr>
      <w:r>
        <w:rPr>
          <w:rFonts w:cs="Arial"/>
          <w:sz w:val="22"/>
          <w:szCs w:val="24"/>
        </w:rPr>
        <w:t>Evidence must be provided in the main body of the assessment document. If appendices are included, these will not be marked or moderated; however, they may be reviewed by your assessor.</w:t>
      </w:r>
    </w:p>
    <w:bookmarkEnd w:id="2"/>
    <w:p>
      <w:pPr>
        <w:pStyle w:val="style4100"/>
        <w:numPr>
          <w:ilvl w:val="0"/>
          <w:numId w:val="4"/>
        </w:numPr>
        <w:spacing w:before="0" w:after="0"/>
        <w:rPr>
          <w:rFonts w:cs="Arial"/>
          <w:sz w:val="22"/>
          <w:szCs w:val="24"/>
        </w:rPr>
      </w:pPr>
      <w:r>
        <w:rPr>
          <w:rFonts w:cs="Arial"/>
          <w:sz w:val="22"/>
          <w:szCs w:val="24"/>
        </w:rPr>
        <w:t>The assessment must be completed in a professional manner (eg applying business conventions for writing formal reports) and by using Microsoft Word.</w:t>
      </w:r>
    </w:p>
    <w:p>
      <w:pPr>
        <w:pStyle w:val="style4100"/>
        <w:numPr>
          <w:ilvl w:val="0"/>
          <w:numId w:val="4"/>
        </w:numPr>
        <w:spacing w:before="0" w:after="0"/>
        <w:rPr>
          <w:rFonts w:cs="Arial"/>
          <w:sz w:val="22"/>
          <w:szCs w:val="24"/>
        </w:rPr>
      </w:pPr>
      <w:r>
        <w:rPr>
          <w:rFonts w:cs="Arial"/>
          <w:sz w:val="22"/>
          <w:szCs w:val="24"/>
        </w:rPr>
        <w:t>The assessment must be saved as a Word document (.doc or .docx) and not in a PDF format, unless another format is requested within the brief, eg PowerPoint.</w:t>
      </w:r>
    </w:p>
    <w:bookmarkStart w:id="3" w:name="_Hlk155098157"/>
    <w:p>
      <w:pPr>
        <w:pStyle w:val="style4100"/>
        <w:numPr>
          <w:ilvl w:val="0"/>
          <w:numId w:val="4"/>
        </w:numPr>
        <w:spacing w:before="0" w:after="0"/>
        <w:rPr>
          <w:rFonts w:cs="Arial"/>
          <w:sz w:val="22"/>
          <w:szCs w:val="24"/>
        </w:rPr>
      </w:pPr>
      <w:r>
        <w:rPr>
          <w:rFonts w:cs="Arial"/>
          <w:sz w:val="22"/>
          <w:szCs w:val="24"/>
        </w:rPr>
        <w:t>Referencing must be included within each assessment criteria unless stipulated otherwise.</w:t>
      </w:r>
    </w:p>
    <w:p>
      <w:pPr>
        <w:pStyle w:val="style4100"/>
        <w:numPr>
          <w:ilvl w:val="0"/>
          <w:numId w:val="4"/>
        </w:numPr>
        <w:spacing w:before="0" w:after="0"/>
        <w:rPr>
          <w:rFonts w:cs="Arial"/>
          <w:sz w:val="22"/>
          <w:szCs w:val="24"/>
        </w:rPr>
      </w:pPr>
      <w:r>
        <w:rPr>
          <w:rFonts w:cs="Arial"/>
          <w:sz w:val="22"/>
          <w:szCs w:val="24"/>
        </w:rPr>
        <w:t>Harvard referencing system must be used to ensure the original source(s) of quotations or models can be verified.</w:t>
      </w:r>
    </w:p>
    <w:bookmarkEnd w:id="3"/>
    <w:p>
      <w:pPr>
        <w:pStyle w:val="style4100"/>
        <w:numPr>
          <w:ilvl w:val="0"/>
          <w:numId w:val="4"/>
        </w:numPr>
        <w:spacing w:before="0" w:after="0"/>
        <w:rPr>
          <w:rFonts w:cs="Arial"/>
          <w:sz w:val="22"/>
          <w:szCs w:val="24"/>
        </w:rPr>
      </w:pPr>
      <w:r>
        <w:rPr>
          <w:rFonts w:cs="Arial"/>
          <w:sz w:val="22"/>
          <w:szCs w:val="24"/>
        </w:rPr>
        <w:t>You must sign the Learner Declaration of Authentication statement (a photo or scan of your signature is acceptable).</w:t>
      </w:r>
    </w:p>
    <w:bookmarkEnd w:id="1"/>
    <w:p>
      <w:pPr>
        <w:pStyle w:val="style4100"/>
        <w:spacing w:before="0" w:after="0"/>
        <w:rPr>
          <w:rFonts w:cs="Arial"/>
          <w:sz w:val="22"/>
          <w:szCs w:val="24"/>
        </w:rPr>
      </w:pPr>
    </w:p>
    <w:bookmarkStart w:id="4" w:name="_Hlk155884272"/>
    <w:tbl>
      <w:tblPr>
        <w:tblW w:w="10290" w:type="dxa"/>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bfbfbf"/>
        <w:tblCellMar>
          <w:top w:w="113" w:type="dxa"/>
          <w:left w:w="170" w:type="dxa"/>
          <w:bottom w:w="113" w:type="dxa"/>
          <w:right w:w="170" w:type="dxa"/>
        </w:tblCellMar>
        <w:tblLook w:val="04A0" w:firstRow="1" w:lastRow="0" w:firstColumn="1" w:lastColumn="0" w:noHBand="0" w:noVBand="1"/>
      </w:tblPr>
      <w:tblGrid>
        <w:gridCol w:w="568"/>
        <w:gridCol w:w="9722"/>
      </w:tblGrid>
      <w:tr>
        <w:trPr/>
        <w:tc>
          <w:tcPr>
            <w:tcW w:w="568" w:type="dxa"/>
            <w:tcBorders/>
            <w:shd w:val="clear" w:color="auto" w:fill="347789"/>
            <w:vAlign w:val="center"/>
          </w:tcPr>
          <w:p>
            <w:pPr>
              <w:pStyle w:val="style0"/>
              <w:jc w:val="center"/>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9722" w:type="dxa"/>
            <w:tcBorders/>
            <w:shd w:val="clear" w:color="auto" w:fill="347789"/>
            <w:vAlign w:val="center"/>
          </w:tcPr>
          <w:p>
            <w:pPr>
              <w:pStyle w:val="style4097"/>
              <w:rPr>
                <w:color w:val="ffffff"/>
              </w:rPr>
            </w:pPr>
            <w:r>
              <w:rPr>
                <w:color w:val="ffffff"/>
              </w:rPr>
              <w:t>WORD COUNT and expectations</w:t>
            </w:r>
          </w:p>
        </w:tc>
      </w:tr>
      <w:bookmarkStart w:id="5" w:name="_Hlk155884278"/>
      <w:bookmarkEnd w:id="4"/>
    </w:tbl>
    <w:p>
      <w:pPr>
        <w:pStyle w:val="style179"/>
        <w:numPr>
          <w:ilvl w:val="0"/>
          <w:numId w:val="34"/>
        </w:numPr>
        <w:autoSpaceDE w:val="false"/>
        <w:autoSpaceDN w:val="false"/>
        <w:adjustRightInd w:val="false"/>
        <w:spacing w:after="0" w:lineRule="auto" w:line="240"/>
        <w:rPr>
          <w:rFonts w:ascii="Arial" w:cs="Arial" w:hAnsi="Arial"/>
          <w:color w:val="000000"/>
        </w:rPr>
      </w:pPr>
      <w:r>
        <w:rPr>
          <w:rFonts w:ascii="Arial" w:cs="Arial" w:hAnsi="Arial"/>
          <w:color w:val="000000"/>
        </w:rPr>
        <w:t xml:space="preserve">Your word count allowance is specified against each task. There is a +/-10% allowance on this word count, and you must not exceed this. </w:t>
      </w:r>
      <w:r>
        <w:rPr>
          <w:rFonts w:ascii="Arial" w:cs="Arial" w:hAnsi="Arial"/>
          <w:b/>
          <w:bCs/>
          <w:color w:val="0070c0"/>
        </w:rPr>
        <w:t xml:space="preserve">If you exceed the overall word count, your work will be returned to you unmarked and you will be allocated a refer grade. </w:t>
      </w:r>
    </w:p>
    <w:p>
      <w:pPr>
        <w:pStyle w:val="style179"/>
        <w:numPr>
          <w:ilvl w:val="0"/>
          <w:numId w:val="34"/>
        </w:numPr>
        <w:autoSpaceDE w:val="false"/>
        <w:autoSpaceDN w:val="false"/>
        <w:adjustRightInd w:val="false"/>
        <w:spacing w:after="0" w:lineRule="auto" w:line="240"/>
        <w:rPr>
          <w:rFonts w:ascii="Arial" w:cs="Arial" w:hAnsi="Arial"/>
          <w:b/>
          <w:bCs/>
          <w:color w:val="000000"/>
        </w:rPr>
      </w:pPr>
      <w:r>
        <w:rPr>
          <w:rFonts w:ascii="Arial" w:cs="Arial" w:hAnsi="Arial"/>
          <w:b/>
          <w:bCs/>
          <w:color w:val="000000"/>
        </w:rPr>
        <w:t xml:space="preserve">Please note that everything within the main body of your assessment is included within the word count unless otherwise stipulated. This includes any headings or sub-headings, in-text references and words within tables. </w:t>
      </w:r>
    </w:p>
    <w:p>
      <w:pPr>
        <w:pStyle w:val="style179"/>
        <w:numPr>
          <w:ilvl w:val="0"/>
          <w:numId w:val="34"/>
        </w:numPr>
        <w:autoSpaceDE w:val="false"/>
        <w:autoSpaceDN w:val="false"/>
        <w:adjustRightInd w:val="false"/>
        <w:spacing w:after="0" w:lineRule="auto" w:line="240"/>
        <w:rPr>
          <w:rFonts w:ascii="Arial" w:cs="Arial" w:hAnsi="Arial"/>
          <w:b/>
          <w:bCs/>
          <w:color w:val="000000"/>
        </w:rPr>
      </w:pPr>
      <w:r>
        <w:rPr>
          <w:rFonts w:ascii="Arial" w:cs="Arial" w:hAnsi="Arial"/>
          <w:b/>
          <w:bCs/>
          <w:color w:val="000000"/>
        </w:rPr>
        <w:t xml:space="preserve">You must title your answers using the relevant assessment criteria number. We will be unable to mark your work if it is unclear where one assessment criteria / question ends, and the next assessment criteria / question begins. </w:t>
      </w:r>
    </w:p>
    <w:p>
      <w:pPr>
        <w:pStyle w:val="style179"/>
        <w:numPr>
          <w:ilvl w:val="0"/>
          <w:numId w:val="34"/>
        </w:numPr>
        <w:autoSpaceDE w:val="false"/>
        <w:autoSpaceDN w:val="false"/>
        <w:adjustRightInd w:val="false"/>
        <w:spacing w:after="0" w:lineRule="auto" w:line="240"/>
        <w:rPr>
          <w:rFonts w:ascii="Arial" w:cs="Arial" w:hAnsi="Arial"/>
          <w:color w:val="000000"/>
        </w:rPr>
      </w:pPr>
      <w:r>
        <w:rPr>
          <w:rFonts w:ascii="Arial" w:cs="Arial" w:hAnsi="Arial"/>
          <w:color w:val="000000"/>
        </w:rPr>
        <w:t xml:space="preserve">The bibliography or list of references is not included in the total word count. </w:t>
      </w:r>
    </w:p>
    <w:p>
      <w:pPr>
        <w:pStyle w:val="style4103"/>
        <w:numPr>
          <w:ilvl w:val="0"/>
          <w:numId w:val="34"/>
        </w:numPr>
        <w:spacing w:before="0" w:after="0"/>
        <w:rPr>
          <w:rFonts w:cs="Arial"/>
        </w:rPr>
      </w:pPr>
      <w:r>
        <w:rPr>
          <w:rFonts w:cs="Arial"/>
          <w:color w:val="000000"/>
          <w:sz w:val="22"/>
        </w:rPr>
        <w:t>Expectations are set out in the marking descriptor grid, which you will find at the end of this document. You must pass all assessment criteria/learning outcomes to successfully achieve this unit.</w:t>
      </w:r>
      <w:bookmarkEnd w:id="5"/>
    </w:p>
    <w:p>
      <w:pPr>
        <w:pStyle w:val="style4103"/>
        <w:spacing w:before="0" w:after="0"/>
        <w:rPr>
          <w:rFonts w:cs="Arial"/>
          <w:color w:val="000000"/>
          <w:sz w:val="22"/>
        </w:rPr>
      </w:pPr>
    </w:p>
    <w:p>
      <w:pPr>
        <w:pStyle w:val="style4103"/>
        <w:spacing w:before="0" w:after="0"/>
        <w:rPr>
          <w:rFonts w:cs="Arial"/>
          <w:color w:val="000000"/>
          <w:sz w:val="22"/>
        </w:rPr>
      </w:pPr>
    </w:p>
    <w:p>
      <w:pPr>
        <w:pStyle w:val="style0"/>
        <w:tabs>
          <w:tab w:val="left" w:leader="none" w:pos="1718"/>
        </w:tabs>
        <w:rPr/>
      </w:pPr>
      <w:r>
        <w:tab/>
      </w:r>
    </w:p>
    <w:bookmarkStart w:id="6" w:name="_Hlk155884291"/>
    <w:tbl>
      <w:tblPr>
        <w:tblW w:w="4974" w:type="pct"/>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a20bc5"/>
        <w:tblLayout w:type="fixed"/>
        <w:tblCellMar>
          <w:top w:w="113" w:type="dxa"/>
          <w:left w:w="170" w:type="dxa"/>
          <w:bottom w:w="113" w:type="dxa"/>
          <w:right w:w="170" w:type="dxa"/>
        </w:tblCellMar>
        <w:tblLook w:val="04A0" w:firstRow="1" w:lastRow="0" w:firstColumn="1" w:lastColumn="0" w:noHBand="0" w:noVBand="1"/>
      </w:tblPr>
      <w:tblGrid>
        <w:gridCol w:w="560"/>
        <w:gridCol w:w="9531"/>
      </w:tblGrid>
      <w:tr>
        <w:trPr/>
        <w:tc>
          <w:tcPr>
            <w:tcW w:w="568" w:type="dxa"/>
            <w:tcBorders/>
            <w:shd w:val="clear" w:color="auto" w:fill="347789"/>
            <w:vAlign w:val="center"/>
          </w:tcPr>
          <w:p>
            <w:pPr>
              <w:pStyle w:val="style0"/>
              <w:jc w:val="center"/>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9921" w:type="dxa"/>
            <w:tcBorders/>
            <w:shd w:val="clear" w:color="auto" w:fill="347789"/>
            <w:vAlign w:val="center"/>
          </w:tcPr>
          <w:p>
            <w:pPr>
              <w:pStyle w:val="style4097"/>
              <w:rPr>
                <w:color w:val="ffffff"/>
              </w:rPr>
            </w:pPr>
            <w:r>
              <w:rPr>
                <w:color w:val="ffffff"/>
              </w:rPr>
              <w:t>Referrals</w:t>
            </w:r>
          </w:p>
        </w:tc>
      </w:tr>
      <w:bookmarkEnd w:id="6"/>
    </w:tbl>
    <w:p>
      <w:pPr>
        <w:pStyle w:val="style4103"/>
        <w:spacing w:before="0" w:after="0"/>
        <w:rPr>
          <w:rFonts w:cs="Arial"/>
        </w:rPr>
      </w:pPr>
    </w:p>
    <w:bookmarkStart w:id="7" w:name="_Hlk155884325"/>
    <w:p>
      <w:pPr>
        <w:pStyle w:val="style179"/>
        <w:numPr>
          <w:ilvl w:val="0"/>
          <w:numId w:val="35"/>
        </w:numPr>
        <w:rPr>
          <w:rFonts w:ascii="Arial" w:cs="Arial" w:hAnsi="Arial"/>
          <w:b/>
          <w:bCs/>
          <w:color w:val="0070c0"/>
        </w:rPr>
      </w:pPr>
      <w:r>
        <w:rPr>
          <w:rFonts w:ascii="Arial" w:cs="Arial" w:hAnsi="Arial"/>
          <w:b/>
          <w:bCs/>
          <w:color w:val="0070c0"/>
        </w:rPr>
        <w:t xml:space="preserve">You must update the version of your assessment which includes the tutor feedback. </w:t>
      </w:r>
    </w:p>
    <w:p>
      <w:pPr>
        <w:pStyle w:val="style179"/>
        <w:numPr>
          <w:ilvl w:val="0"/>
          <w:numId w:val="35"/>
        </w:numPr>
        <w:rPr>
          <w:rFonts w:ascii="Arial" w:cs="Arial" w:hAnsi="Arial"/>
        </w:rPr>
      </w:pPr>
      <w:r>
        <w:rPr>
          <w:rFonts w:ascii="Arial" w:cs="Arial" w:hAnsi="Arial"/>
          <w:b/>
          <w:bCs/>
        </w:rPr>
        <w:t>Please ensure you do not change any of the assessment criteria where you have received a mark of a 2 or above. Only amend sections of your assessment where you have been awarded a mark of a 1 (Refer), taking into account your tutor feedback whilst remaining within the allocated word count</w:t>
      </w:r>
      <w:r>
        <w:rPr>
          <w:rFonts w:ascii="Arial" w:cs="Arial" w:hAnsi="Arial"/>
        </w:rPr>
        <w:t>.</w:t>
      </w:r>
      <w:r>
        <w:rPr>
          <w:rFonts w:ascii="Arial" w:cs="Arial" w:hAnsi="Arial"/>
          <w:b/>
          <w:bCs/>
        </w:rPr>
        <w:t xml:space="preserve"> </w:t>
      </w:r>
    </w:p>
    <w:p>
      <w:pPr>
        <w:pStyle w:val="style179"/>
        <w:numPr>
          <w:ilvl w:val="0"/>
          <w:numId w:val="35"/>
        </w:numPr>
        <w:rPr>
          <w:rFonts w:ascii="Arial" w:cs="Arial" w:hAnsi="Arial"/>
          <w:b/>
          <w:bCs/>
        </w:rPr>
      </w:pPr>
      <w:r>
        <w:rPr>
          <w:rFonts w:ascii="Arial" w:cs="Arial" w:hAnsi="Arial"/>
        </w:rPr>
        <w:t xml:space="preserve">When updating any AC which has received a mark of a 1, please strike through all of the original text using the strikethrough key so the text to be </w:t>
      </w:r>
      <w:r>
        <w:rPr>
          <w:rFonts w:ascii="Arial" w:cs="Arial" w:hAnsi="Arial"/>
          <w:strike/>
        </w:rPr>
        <w:t>‘removed’</w:t>
      </w:r>
      <w:r>
        <w:rPr>
          <w:rFonts w:ascii="Arial" w:cs="Arial" w:hAnsi="Arial"/>
        </w:rPr>
        <w:t xml:space="preserve"> appears like this. You will need to rewrite your full answer below the original text using a different colour to the original submission, </w:t>
      </w:r>
      <w:r>
        <w:rPr>
          <w:rFonts w:ascii="Arial" w:cs="Arial" w:hAnsi="Arial"/>
          <w:b/>
          <w:bCs/>
          <w:color w:val="0070c0"/>
        </w:rPr>
        <w:t>so the new text appears like this.</w:t>
      </w:r>
      <w:r>
        <w:rPr>
          <w:rFonts w:ascii="Arial" w:cs="Arial" w:hAnsi="Arial"/>
          <w:color w:val="ff0000"/>
        </w:rPr>
        <w:t xml:space="preserve"> </w:t>
      </w:r>
      <w:r>
        <w:rPr>
          <w:rFonts w:ascii="Arial" w:cs="Arial" w:hAnsi="Arial"/>
        </w:rPr>
        <w:t>This clearly shows what was in the original submission and what has been added.</w:t>
      </w:r>
    </w:p>
    <w:p>
      <w:pPr>
        <w:pStyle w:val="style179"/>
        <w:numPr>
          <w:ilvl w:val="0"/>
          <w:numId w:val="35"/>
        </w:numPr>
        <w:rPr>
          <w:rFonts w:ascii="Arial" w:cs="Arial" w:hAnsi="Arial"/>
        </w:rPr>
      </w:pPr>
      <w:r>
        <w:rPr>
          <w:rFonts w:ascii="Arial" w:cs="Arial" w:hAnsi="Arial"/>
        </w:rPr>
        <w:t xml:space="preserve">Please do not use track changes as these are not permitted. </w:t>
      </w:r>
    </w:p>
    <w:p>
      <w:pPr>
        <w:pStyle w:val="style179"/>
        <w:numPr>
          <w:ilvl w:val="0"/>
          <w:numId w:val="35"/>
        </w:numPr>
        <w:rPr>
          <w:rFonts w:ascii="Arial" w:cs="Arial" w:hAnsi="Arial"/>
        </w:rPr>
      </w:pPr>
      <w:r>
        <w:rPr>
          <w:rFonts w:ascii="Arial" w:cs="Arial" w:hAnsi="Arial"/>
        </w:rPr>
        <w:t xml:space="preserve">Before you resubmit your assessment, please ensure you refer back to the Topic Essentials, Assessment briefing webinar or the Assessment guide video, and the learner resource zone, as these will support you with any changes needed to achieve a pass grade. </w:t>
      </w:r>
    </w:p>
    <w:p>
      <w:pPr>
        <w:pStyle w:val="style179"/>
        <w:numPr>
          <w:ilvl w:val="0"/>
          <w:numId w:val="35"/>
        </w:numPr>
        <w:rPr>
          <w:rFonts w:ascii="Arial" w:cs="Arial" w:hAnsi="Arial"/>
        </w:rPr>
      </w:pPr>
      <w:r>
        <w:rPr>
          <w:rFonts w:ascii="Arial" w:cs="Arial" w:hAnsi="Arial"/>
          <w:bCs/>
        </w:rPr>
        <w:t xml:space="preserve">Please ensure you have </w:t>
      </w:r>
      <w:r>
        <w:rPr>
          <w:rFonts w:ascii="Arial" w:cs="Arial" w:hAnsi="Arial"/>
        </w:rPr>
        <w:t>fully addressed all parts of the assessor feedback before you upload your resubmission to the VLE.</w:t>
      </w:r>
    </w:p>
    <w:p>
      <w:pPr>
        <w:pStyle w:val="style0"/>
        <w:rPr>
          <w:rFonts w:ascii="Arial" w:cs="Arial" w:hAnsi="Arial"/>
        </w:rPr>
      </w:pPr>
    </w:p>
    <w:p>
      <w:pPr>
        <w:pStyle w:val="style0"/>
        <w:jc w:val="center"/>
        <w:rPr>
          <w:rFonts w:ascii="Arial" w:cs="Arial" w:hAnsi="Arial"/>
        </w:rPr>
      </w:pPr>
      <w:r>
        <w:rPr>
          <w:rFonts w:ascii="Arial" w:cs="Arial" w:hAnsi="Arial"/>
        </w:rPr>
        <w:t xml:space="preserve">You can contact your Support Tutor via the VLE for further assessment guidance if needed or email the team at </w:t>
      </w:r>
      <w:r>
        <w:rPr/>
        <w:fldChar w:fldCharType="begin"/>
      </w:r>
      <w:r>
        <w:instrText xml:space="preserve"> HYPERLINK "mailto:cipdsupport@mollearn.com" </w:instrText>
      </w:r>
      <w:r>
        <w:rPr/>
        <w:fldChar w:fldCharType="separate"/>
      </w:r>
      <w:r>
        <w:rPr>
          <w:rStyle w:val="style85"/>
          <w:rFonts w:ascii="Arial" w:cs="Arial" w:hAnsi="Arial"/>
        </w:rPr>
        <w:t>cipdsupport@mollearn.com</w:t>
      </w:r>
      <w:r>
        <w:rPr/>
        <w:fldChar w:fldCharType="end"/>
      </w:r>
      <w:r>
        <w:rPr>
          <w:rFonts w:ascii="Arial" w:cs="Arial" w:hAnsi="Arial"/>
        </w:rPr>
        <w:t>, who will be able to respond to any administrative questions.</w:t>
      </w:r>
    </w:p>
    <w:bookmarkEnd w:id="7"/>
    <w:p>
      <w:pPr>
        <w:pStyle w:val="style4103"/>
        <w:spacing w:before="0" w:after="0"/>
        <w:jc w:val="center"/>
        <w:rPr>
          <w:rFonts w:cs="Arial"/>
        </w:rPr>
      </w:pPr>
      <w:r>
        <w:rPr>
          <w:rFonts w:cs="Arial"/>
          <w:b/>
          <w:bCs/>
          <w:sz w:val="28"/>
          <w:szCs w:val="28"/>
        </w:rPr>
        <w:t>If you receive a Refer grade for any assessment criteria, you will have three weeks to resubmit from the date your feedback is released. Please note that any referred assessment criteria will be capped at a Low Pass.</w:t>
      </w:r>
      <w:r>
        <w:rPr>
          <w:rFonts w:cs="Arial"/>
        </w:rPr>
        <w:br w:type="page"/>
      </w:r>
    </w:p>
    <w:tbl>
      <w:tblPr>
        <w:tblW w:w="4920" w:type="pct"/>
        <w:tblInd w:w="25"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7030a0"/>
        <w:tblLayout w:type="fixed"/>
        <w:tblCellMar>
          <w:top w:w="113" w:type="dxa"/>
          <w:left w:w="170" w:type="dxa"/>
          <w:bottom w:w="113" w:type="dxa"/>
          <w:right w:w="170" w:type="dxa"/>
        </w:tblCellMar>
        <w:tblLook w:val="04A0" w:firstRow="1" w:lastRow="0" w:firstColumn="1" w:lastColumn="0" w:noHBand="0" w:noVBand="1"/>
      </w:tblPr>
      <w:tblGrid>
        <w:gridCol w:w="558"/>
        <w:gridCol w:w="9424"/>
      </w:tblGrid>
      <w:tr>
        <w:trPr/>
        <w:tc>
          <w:tcPr>
            <w:tcW w:w="558" w:type="dxa"/>
            <w:tcBorders/>
            <w:shd w:val="clear" w:color="auto" w:fill="347789"/>
            <w:vAlign w:val="center"/>
          </w:tcPr>
          <w:p>
            <w:pPr>
              <w:pStyle w:val="style179"/>
              <w:numPr>
                <w:ilvl w:val="0"/>
                <w:numId w:val="4"/>
              </w:numPr>
              <w:jc w:val="center"/>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9423" w:type="dxa"/>
            <w:tcBorders/>
            <w:shd w:val="clear" w:color="auto" w:fill="347789"/>
            <w:vAlign w:val="center"/>
          </w:tcPr>
          <w:p>
            <w:pPr>
              <w:pStyle w:val="style4097"/>
              <w:rPr>
                <w:color w:val="ffffff"/>
              </w:rPr>
            </w:pPr>
            <w:r>
              <w:rPr>
                <w:color w:val="ffffff"/>
              </w:rPr>
              <w:t>learner information</w:t>
            </w:r>
          </w:p>
        </w:tc>
      </w:tr>
    </w:tbl>
    <w:p>
      <w:pPr>
        <w:pStyle w:val="style4099"/>
        <w:rPr>
          <w:rFonts w:ascii="Arial" w:cs="Arial" w:hAnsi="Arial"/>
          <w:sz w:val="20"/>
          <w:szCs w:val="20"/>
        </w:rPr>
      </w:pPr>
    </w:p>
    <w:p>
      <w:pPr>
        <w:pStyle w:val="style4099"/>
        <w:ind w:left="142"/>
        <w:rPr>
          <w:rFonts w:ascii="Arial" w:cs="Arial" w:hAnsi="Arial"/>
          <w:sz w:val="20"/>
          <w:szCs w:val="20"/>
        </w:rPr>
      </w:pPr>
      <w:r>
        <w:rPr>
          <w:rFonts w:ascii="Arial" w:cs="Arial" w:hAnsi="Arial"/>
          <w:sz w:val="20"/>
          <w:szCs w:val="20"/>
        </w:rPr>
        <w:t>Please write clearly in block capitals.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7505"/>
      </w:tblGrid>
      <w:tr>
        <w:trPr/>
        <w:tc>
          <w:tcPr>
            <w:tcW w:w="2689" w:type="dxa"/>
            <w:tcBorders/>
          </w:tcPr>
          <w:p>
            <w:pPr>
              <w:pStyle w:val="style4102"/>
              <w:rPr>
                <w:rFonts w:cs="Arial"/>
                <w:highlight w:val="yellow"/>
              </w:rPr>
            </w:pPr>
            <w:r>
              <w:rPr>
                <w:rFonts w:cs="Arial"/>
              </w:rPr>
              <w:t>Centre name and number</w:t>
            </w:r>
          </w:p>
        </w:tc>
        <w:tc>
          <w:tcPr>
            <w:tcW w:w="7505" w:type="dxa"/>
            <w:tcBorders/>
          </w:tcPr>
          <w:p>
            <w:pPr>
              <w:pStyle w:val="style4101"/>
              <w:rPr>
                <w:rFonts w:cs="Arial"/>
                <w:highlight w:val="yellow"/>
              </w:rPr>
            </w:pPr>
            <w:r>
              <w:rPr>
                <w:rFonts w:cs="Arial"/>
                <w:b/>
                <w:bCs/>
                <w:color w:val="347789"/>
              </w:rPr>
              <w:t>MOL – 531</w:t>
            </w:r>
          </w:p>
        </w:tc>
      </w:tr>
      <w:tr>
        <w:tblPrEx/>
        <w:trPr/>
        <w:tc>
          <w:tcPr>
            <w:tcW w:w="2689" w:type="dxa"/>
            <w:tcBorders/>
          </w:tcPr>
          <w:p>
            <w:pPr>
              <w:pStyle w:val="style4102"/>
              <w:rPr>
                <w:rFonts w:cs="Arial"/>
                <w:highlight w:val="yellow"/>
              </w:rPr>
            </w:pPr>
            <w:r>
              <w:rPr>
                <w:rFonts w:cs="Arial"/>
              </w:rPr>
              <w:t>Learner Name</w:t>
            </w:r>
          </w:p>
        </w:tc>
        <w:tc>
          <w:tcPr>
            <w:tcW w:w="7505" w:type="dxa"/>
            <w:tcBorders/>
          </w:tcPr>
          <w:p>
            <w:pPr>
              <w:pStyle w:val="style4101"/>
              <w:rPr>
                <w:rFonts w:cs="Arial"/>
                <w:highlight w:val="yellow"/>
              </w:rPr>
            </w:pPr>
            <w:r>
              <w:rPr>
                <w:rFonts w:cs="Arial"/>
                <w:highlight w:val="yellow"/>
              </w:rPr>
              <w:t>Noura Alqahtani</w:t>
            </w:r>
          </w:p>
        </w:tc>
      </w:tr>
      <w:tr>
        <w:tblPrEx/>
        <w:trPr/>
        <w:tc>
          <w:tcPr>
            <w:tcW w:w="2689" w:type="dxa"/>
            <w:tcBorders/>
          </w:tcPr>
          <w:p>
            <w:pPr>
              <w:pStyle w:val="style4102"/>
              <w:rPr>
                <w:rFonts w:cs="Arial"/>
              </w:rPr>
            </w:pPr>
            <w:r>
              <w:rPr>
                <w:rFonts w:cs="Arial"/>
              </w:rPr>
              <w:t>Learner CIPD membership number</w:t>
            </w:r>
          </w:p>
        </w:tc>
        <w:tc>
          <w:tcPr>
            <w:tcW w:w="7505" w:type="dxa"/>
            <w:tcBorders/>
          </w:tcPr>
          <w:p>
            <w:pPr>
              <w:pStyle w:val="style4101"/>
              <w:rPr>
                <w:rFonts w:cs="Arial"/>
              </w:rPr>
            </w:pPr>
            <w:r>
              <w:rPr>
                <w:rFonts w:cs="Arial" w:eastAsia="Arial"/>
                <w:color w:val="000000"/>
                <w:szCs w:val="20"/>
              </w:rPr>
              <w:t>89341248</w:t>
            </w:r>
          </w:p>
        </w:tc>
      </w:tr>
      <w:tr>
        <w:tblPrEx/>
        <w:trPr>
          <w:trHeight w:val="137" w:hRule="atLeast"/>
        </w:trPr>
        <w:tc>
          <w:tcPr>
            <w:tcW w:w="10194" w:type="dxa"/>
            <w:gridSpan w:val="2"/>
            <w:tcBorders/>
            <w:shd w:val="clear" w:color="auto" w:fill="91bebc"/>
          </w:tcPr>
          <w:p>
            <w:pPr>
              <w:pStyle w:val="style4101"/>
              <w:rPr>
                <w:rFonts w:cs="Arial"/>
              </w:rPr>
            </w:pPr>
          </w:p>
        </w:tc>
      </w:tr>
      <w:tr>
        <w:tblPrEx/>
        <w:trPr>
          <w:trHeight w:val="137" w:hRule="atLeast"/>
        </w:trPr>
        <w:tc>
          <w:tcPr>
            <w:tcW w:w="2689" w:type="dxa"/>
            <w:tcBorders/>
          </w:tcPr>
          <w:p>
            <w:pPr>
              <w:pStyle w:val="style4101"/>
              <w:rPr>
                <w:rFonts w:cs="Arial"/>
                <w:b/>
                <w:bCs/>
              </w:rPr>
            </w:pPr>
            <w:r>
              <w:rPr>
                <w:rFonts w:cs="Arial"/>
                <w:b/>
                <w:bCs/>
              </w:rPr>
              <w:t>Unit code and title</w:t>
            </w:r>
          </w:p>
        </w:tc>
        <w:tc>
          <w:tcPr>
            <w:tcW w:w="7505" w:type="dxa"/>
            <w:tcBorders/>
          </w:tcPr>
          <w:p>
            <w:pPr>
              <w:pStyle w:val="style4101"/>
              <w:rPr>
                <w:rFonts w:cs="Arial"/>
              </w:rPr>
            </w:pPr>
            <w:r>
              <w:rPr>
                <w:rFonts w:cs="Arial" w:eastAsia="Arial"/>
              </w:rPr>
              <w:t>5CO01 Organisational performance and culture in practice</w:t>
            </w:r>
          </w:p>
        </w:tc>
      </w:tr>
      <w:tr>
        <w:tblPrEx/>
        <w:trPr>
          <w:trHeight w:val="137" w:hRule="atLeast"/>
        </w:trPr>
        <w:tc>
          <w:tcPr>
            <w:tcW w:w="2689" w:type="dxa"/>
            <w:tcBorders/>
            <w:vAlign w:val="center"/>
          </w:tcPr>
          <w:p>
            <w:pPr>
              <w:pStyle w:val="style4101"/>
              <w:rPr>
                <w:rFonts w:cs="Arial"/>
                <w:b/>
                <w:bCs/>
              </w:rPr>
            </w:pPr>
            <w:r>
              <w:rPr>
                <w:rFonts w:cs="Arial" w:eastAsia="Arial"/>
                <w:b/>
                <w:bCs/>
              </w:rPr>
              <w:t>Assessment ID</w:t>
            </w:r>
          </w:p>
        </w:tc>
        <w:tc>
          <w:tcPr>
            <w:tcW w:w="7505" w:type="dxa"/>
            <w:tcBorders/>
            <w:vAlign w:val="center"/>
          </w:tcPr>
          <w:p>
            <w:pPr>
              <w:pStyle w:val="style4101"/>
              <w:rPr>
                <w:rFonts w:cs="Arial" w:eastAsia="Arial"/>
              </w:rPr>
            </w:pPr>
            <w:r>
              <w:rPr>
                <w:rFonts w:cs="Arial" w:eastAsia="Arial"/>
              </w:rPr>
              <w:t>CIPD_5CO01_25_01</w:t>
            </w:r>
          </w:p>
        </w:tc>
      </w:tr>
      <w:tr>
        <w:tblPrEx/>
        <w:trPr>
          <w:trHeight w:val="137" w:hRule="atLeast"/>
        </w:trPr>
        <w:tc>
          <w:tcPr>
            <w:tcW w:w="10194" w:type="dxa"/>
            <w:gridSpan w:val="2"/>
            <w:tcBorders/>
            <w:shd w:val="clear" w:color="auto" w:fill="91bebc"/>
          </w:tcPr>
          <w:p>
            <w:pPr>
              <w:pStyle w:val="style4101"/>
              <w:rPr>
                <w:rFonts w:cs="Arial"/>
              </w:rPr>
            </w:pPr>
          </w:p>
        </w:tc>
      </w:tr>
      <w:tr>
        <w:tblPrEx/>
        <w:trPr/>
        <w:tc>
          <w:tcPr>
            <w:tcW w:w="2689" w:type="dxa"/>
            <w:tcBorders/>
          </w:tcPr>
          <w:p>
            <w:pPr>
              <w:pStyle w:val="style4102"/>
              <w:rPr>
                <w:rFonts w:cs="Arial"/>
              </w:rPr>
            </w:pPr>
            <w:r>
              <w:rPr>
                <w:rFonts w:cs="Arial"/>
              </w:rPr>
              <w:t>Assessment due date</w:t>
            </w:r>
          </w:p>
        </w:tc>
        <w:tc>
          <w:tcPr>
            <w:tcW w:w="7505" w:type="dxa"/>
            <w:tcBorders/>
          </w:tcPr>
          <w:p>
            <w:pPr>
              <w:pStyle w:val="style4101"/>
              <w:rPr>
                <w:rFonts w:cs="Arial"/>
                <w:b/>
                <w:color w:val="126085"/>
              </w:rPr>
            </w:pPr>
            <w:r>
              <w:rPr>
                <w:rFonts w:cs="Arial"/>
                <w:b/>
                <w:color w:val="126085"/>
              </w:rPr>
              <w:t>To be completed by the centre</w:t>
            </w:r>
          </w:p>
        </w:tc>
      </w:tr>
      <w:tr>
        <w:tblPrEx/>
        <w:trPr/>
        <w:tc>
          <w:tcPr>
            <w:tcW w:w="2689" w:type="dxa"/>
            <w:tcBorders/>
          </w:tcPr>
          <w:p>
            <w:pPr>
              <w:pStyle w:val="style4102"/>
              <w:rPr>
                <w:rFonts w:cs="Arial"/>
              </w:rPr>
            </w:pPr>
            <w:r>
              <w:rPr>
                <w:rFonts w:cs="Arial"/>
              </w:rPr>
              <w:t>Assessment submission date</w:t>
            </w:r>
          </w:p>
        </w:tc>
        <w:tc>
          <w:tcPr>
            <w:tcW w:w="7505" w:type="dxa"/>
            <w:tcBorders/>
          </w:tcPr>
          <w:p>
            <w:pPr>
              <w:pStyle w:val="style4101"/>
              <w:rPr>
                <w:rFonts w:cs="Arial"/>
              </w:rPr>
            </w:pPr>
            <w:r>
              <w:rPr>
                <w:rFonts w:cs="Arial"/>
                <w:b/>
                <w:color w:val="126085"/>
              </w:rPr>
              <w:t>To be completed by the centre</w:t>
            </w:r>
          </w:p>
        </w:tc>
      </w:tr>
      <w:tr>
        <w:tblPrEx/>
        <w:trPr/>
        <w:tc>
          <w:tcPr>
            <w:tcW w:w="2689" w:type="dxa"/>
            <w:tcBorders/>
          </w:tcPr>
          <w:p>
            <w:pPr>
              <w:pStyle w:val="style4102"/>
              <w:rPr>
                <w:rFonts w:cs="Arial"/>
              </w:rPr>
            </w:pPr>
            <w:r>
              <w:rPr>
                <w:rFonts w:cs="Arial"/>
              </w:rPr>
              <w:t>First Assessment re-submission date for centre marking (if applicable)</w:t>
            </w:r>
          </w:p>
        </w:tc>
        <w:tc>
          <w:tcPr>
            <w:tcW w:w="7505" w:type="dxa"/>
            <w:tcBorders/>
          </w:tcPr>
          <w:p>
            <w:pPr>
              <w:pStyle w:val="style4101"/>
              <w:rPr>
                <w:rFonts w:cs="Arial"/>
              </w:rPr>
            </w:pPr>
            <w:r>
              <w:rPr>
                <w:rFonts w:cs="Arial"/>
                <w:b/>
                <w:color w:val="126085"/>
              </w:rPr>
              <w:t>To be completed by the centre</w:t>
            </w:r>
          </w:p>
        </w:tc>
      </w:tr>
      <w:tr>
        <w:tblPrEx/>
        <w:trPr/>
        <w:tc>
          <w:tcPr>
            <w:tcW w:w="2689" w:type="dxa"/>
            <w:tcBorders/>
          </w:tcPr>
          <w:p>
            <w:pPr>
              <w:pStyle w:val="style4102"/>
              <w:rPr>
                <w:rFonts w:cs="Arial"/>
              </w:rPr>
            </w:pPr>
            <w:r>
              <w:rPr>
                <w:rFonts w:cs="Arial"/>
              </w:rPr>
              <w:t>Second Assessment re-submission date for centre marking (if applicable)</w:t>
            </w:r>
          </w:p>
        </w:tc>
        <w:tc>
          <w:tcPr>
            <w:tcW w:w="7505" w:type="dxa"/>
            <w:tcBorders/>
          </w:tcPr>
          <w:p>
            <w:pPr>
              <w:pStyle w:val="style4101"/>
              <w:rPr>
                <w:rFonts w:cs="Arial"/>
              </w:rPr>
            </w:pPr>
            <w:r>
              <w:rPr>
                <w:rFonts w:cs="Arial"/>
                <w:b/>
                <w:color w:val="126085"/>
              </w:rPr>
              <w:t>To be completed by the centre</w:t>
            </w:r>
          </w:p>
        </w:tc>
      </w:tr>
      <w:tr>
        <w:tblPrEx/>
        <w:trPr/>
        <w:tc>
          <w:tcPr>
            <w:tcW w:w="2689" w:type="dxa"/>
            <w:tcBorders/>
          </w:tcPr>
          <w:p>
            <w:pPr>
              <w:pStyle w:val="style4102"/>
              <w:rPr>
                <w:rFonts w:cs="Arial"/>
              </w:rPr>
            </w:pPr>
            <w:r>
              <w:rPr>
                <w:rFonts w:cs="Arial"/>
              </w:rPr>
              <w:t>Declared word count</w:t>
            </w:r>
          </w:p>
        </w:tc>
        <w:tc>
          <w:tcPr>
            <w:tcW w:w="7505" w:type="dxa"/>
            <w:tcBorders/>
          </w:tcPr>
          <w:p>
            <w:pPr>
              <w:pStyle w:val="style4101"/>
              <w:rPr>
                <w:rFonts w:cs="Arial"/>
              </w:rPr>
            </w:pPr>
          </w:p>
        </w:tc>
      </w:tr>
      <w:tr>
        <w:tblPrEx/>
        <w:trPr/>
        <w:tc>
          <w:tcPr>
            <w:tcW w:w="2689" w:type="dxa"/>
            <w:tcBorders/>
          </w:tcPr>
          <w:p>
            <w:pPr>
              <w:pStyle w:val="style4102"/>
              <w:rPr>
                <w:rFonts w:cs="Arial"/>
              </w:rPr>
            </w:pPr>
            <w:r>
              <w:rPr>
                <w:rFonts w:cs="Arial"/>
              </w:rPr>
              <w:t>Declared learning difficulty</w:t>
            </w:r>
          </w:p>
          <w:p>
            <w:pPr>
              <w:pStyle w:val="style4102"/>
              <w:rPr>
                <w:rFonts w:cs="Arial"/>
              </w:rPr>
            </w:pPr>
          </w:p>
        </w:tc>
        <w:tc>
          <w:tcPr>
            <w:tcW w:w="7505" w:type="dxa"/>
            <w:tcBorders/>
          </w:tcPr>
          <w:p>
            <w:pPr>
              <w:pStyle w:val="style4101"/>
              <w:rPr>
                <w:rFonts w:cs="Arial"/>
                <w:sz w:val="16"/>
                <w:szCs w:val="16"/>
              </w:rPr>
            </w:pPr>
            <w:r>
              <w:rPr>
                <w:rFonts w:cs="Arial"/>
                <w:sz w:val="16"/>
                <w:szCs w:val="16"/>
              </w:rPr>
              <w:t>Please stipulate your learning difficulty if applicable.</w:t>
            </w:r>
          </w:p>
        </w:tc>
      </w:tr>
      <w:tr>
        <w:tblPrEx/>
        <w:trPr/>
        <w:tc>
          <w:tcPr>
            <w:tcW w:w="10194" w:type="dxa"/>
            <w:gridSpan w:val="2"/>
            <w:tcBorders/>
            <w:shd w:val="clear" w:color="auto" w:fill="91bebc"/>
          </w:tcPr>
          <w:p>
            <w:pPr>
              <w:pStyle w:val="style4101"/>
              <w:rPr>
                <w:rFonts w:cs="Arial"/>
              </w:rPr>
            </w:pPr>
          </w:p>
        </w:tc>
      </w:tr>
      <w:tr>
        <w:tblPrEx/>
        <w:trPr/>
        <w:tc>
          <w:tcPr>
            <w:tcW w:w="2689" w:type="dxa"/>
            <w:tcBorders>
              <w:top w:val="single" w:sz="4" w:space="0" w:color="auto"/>
              <w:left w:val="single" w:sz="4" w:space="0" w:color="auto"/>
              <w:bottom w:val="single" w:sz="4" w:space="0" w:color="auto"/>
              <w:right w:val="single" w:sz="4" w:space="0" w:color="auto"/>
            </w:tcBorders>
            <w:vAlign w:val="center"/>
          </w:tcPr>
          <w:p>
            <w:pPr>
              <w:pStyle w:val="style4102"/>
              <w:rPr>
                <w:rFonts w:cs="Arial"/>
                <w:b w:val="false"/>
                <w:bCs/>
              </w:rPr>
            </w:pPr>
            <w:r>
              <w:rPr>
                <w:rFonts w:cs="Arial" w:eastAsia="Arial"/>
                <w:bCs/>
              </w:rPr>
              <w:t>Assessor name</w:t>
            </w:r>
          </w:p>
        </w:tc>
        <w:tc>
          <w:tcPr>
            <w:tcW w:w="7505" w:type="dxa"/>
            <w:tcBorders>
              <w:top w:val="single" w:sz="4" w:space="0" w:color="auto"/>
              <w:left w:val="single" w:sz="4" w:space="0" w:color="auto"/>
              <w:bottom w:val="single" w:sz="4" w:space="0" w:color="auto"/>
              <w:right w:val="single" w:sz="4" w:space="0" w:color="auto"/>
            </w:tcBorders>
          </w:tcPr>
          <w:p>
            <w:pPr>
              <w:pStyle w:val="style4101"/>
              <w:rPr>
                <w:rFonts w:cs="Arial"/>
              </w:rPr>
            </w:pPr>
          </w:p>
        </w:tc>
      </w:tr>
      <w:tr>
        <w:tblPrEx/>
        <w:trPr/>
        <w:tc>
          <w:tcPr>
            <w:tcW w:w="2689" w:type="dxa"/>
            <w:tcBorders>
              <w:top w:val="single" w:sz="4" w:space="0" w:color="auto"/>
              <w:left w:val="single" w:sz="4" w:space="0" w:color="auto"/>
              <w:bottom w:val="single" w:sz="4" w:space="0" w:color="auto"/>
              <w:right w:val="single" w:sz="4" w:space="0" w:color="auto"/>
            </w:tcBorders>
            <w:vAlign w:val="center"/>
          </w:tcPr>
          <w:p>
            <w:pPr>
              <w:pStyle w:val="style4102"/>
              <w:rPr>
                <w:rFonts w:cs="Arial"/>
              </w:rPr>
            </w:pPr>
            <w:r>
              <w:rPr>
                <w:rFonts w:cs="Arial" w:eastAsia="Arial"/>
                <w:bCs/>
              </w:rPr>
              <w:t>Assessor signature</w:t>
            </w:r>
          </w:p>
        </w:tc>
        <w:tc>
          <w:tcPr>
            <w:tcW w:w="7505" w:type="dxa"/>
            <w:tcBorders>
              <w:top w:val="single" w:sz="4" w:space="0" w:color="auto"/>
              <w:left w:val="single" w:sz="4" w:space="0" w:color="auto"/>
              <w:bottom w:val="single" w:sz="4" w:space="0" w:color="auto"/>
              <w:right w:val="single" w:sz="4" w:space="0" w:color="auto"/>
            </w:tcBorders>
          </w:tcPr>
          <w:p>
            <w:pPr>
              <w:pStyle w:val="style4101"/>
              <w:rPr>
                <w:rFonts w:cs="Arial"/>
              </w:rPr>
            </w:pPr>
          </w:p>
        </w:tc>
      </w:tr>
      <w:tr>
        <w:tblPrEx/>
        <w:trPr/>
        <w:tc>
          <w:tcPr>
            <w:tcW w:w="2689" w:type="dxa"/>
            <w:tcBorders>
              <w:top w:val="single" w:sz="4" w:space="0" w:color="auto"/>
              <w:left w:val="single" w:sz="4" w:space="0" w:color="auto"/>
              <w:bottom w:val="single" w:sz="4" w:space="0" w:color="auto"/>
              <w:right w:val="single" w:sz="4" w:space="0" w:color="auto"/>
            </w:tcBorders>
            <w:shd w:val="clear" w:color="auto" w:fill="91bebc"/>
          </w:tcPr>
          <w:p>
            <w:pPr>
              <w:pStyle w:val="style4102"/>
              <w:rPr>
                <w:rFonts w:cs="Arial"/>
              </w:rPr>
            </w:pPr>
          </w:p>
        </w:tc>
        <w:tc>
          <w:tcPr>
            <w:tcW w:w="7505" w:type="dxa"/>
            <w:tcBorders>
              <w:top w:val="single" w:sz="4" w:space="0" w:color="auto"/>
              <w:left w:val="single" w:sz="4" w:space="0" w:color="auto"/>
              <w:bottom w:val="single" w:sz="4" w:space="0" w:color="auto"/>
              <w:right w:val="single" w:sz="4" w:space="0" w:color="auto"/>
            </w:tcBorders>
            <w:shd w:val="clear" w:color="auto" w:fill="91bebc"/>
          </w:tcPr>
          <w:p>
            <w:pPr>
              <w:pStyle w:val="style4101"/>
              <w:rPr>
                <w:rFonts w:cs="Arial"/>
              </w:rPr>
            </w:pPr>
          </w:p>
        </w:tc>
      </w:tr>
      <w:tr>
        <w:tblPrEx/>
        <w:trPr/>
        <w:tc>
          <w:tcPr>
            <w:tcW w:w="2689" w:type="dxa"/>
            <w:tcBorders>
              <w:top w:val="single" w:sz="4" w:space="0" w:color="auto"/>
              <w:left w:val="single" w:sz="4" w:space="0" w:color="auto"/>
              <w:bottom w:val="single" w:sz="4" w:space="0" w:color="auto"/>
              <w:right w:val="single" w:sz="4" w:space="0" w:color="auto"/>
            </w:tcBorders>
            <w:vAlign w:val="center"/>
          </w:tcPr>
          <w:p>
            <w:pPr>
              <w:pStyle w:val="style4102"/>
              <w:rPr>
                <w:rFonts w:cs="Arial"/>
              </w:rPr>
            </w:pPr>
            <w:r>
              <w:rPr>
                <w:rFonts w:cs="Arial" w:eastAsia="Arial"/>
                <w:bCs/>
              </w:rPr>
              <w:t>IQA name (if applicable)</w:t>
            </w:r>
          </w:p>
        </w:tc>
        <w:tc>
          <w:tcPr>
            <w:tcW w:w="7505" w:type="dxa"/>
            <w:tcBorders>
              <w:top w:val="single" w:sz="4" w:space="0" w:color="auto"/>
              <w:left w:val="single" w:sz="4" w:space="0" w:color="auto"/>
              <w:bottom w:val="single" w:sz="4" w:space="0" w:color="auto"/>
              <w:right w:val="single" w:sz="4" w:space="0" w:color="auto"/>
            </w:tcBorders>
          </w:tcPr>
          <w:p>
            <w:pPr>
              <w:pStyle w:val="style4101"/>
              <w:rPr>
                <w:rFonts w:cs="Arial"/>
              </w:rPr>
            </w:pPr>
          </w:p>
        </w:tc>
      </w:tr>
      <w:tr>
        <w:tblPrEx/>
        <w:trPr/>
        <w:tc>
          <w:tcPr>
            <w:tcW w:w="2689" w:type="dxa"/>
            <w:tcBorders>
              <w:top w:val="single" w:sz="4" w:space="0" w:color="auto"/>
              <w:left w:val="single" w:sz="4" w:space="0" w:color="auto"/>
              <w:bottom w:val="single" w:sz="4" w:space="0" w:color="auto"/>
              <w:right w:val="single" w:sz="4" w:space="0" w:color="auto"/>
            </w:tcBorders>
            <w:vAlign w:val="center"/>
          </w:tcPr>
          <w:p>
            <w:pPr>
              <w:pStyle w:val="style4102"/>
              <w:rPr>
                <w:rFonts w:cs="Arial"/>
              </w:rPr>
            </w:pPr>
            <w:r>
              <w:rPr>
                <w:rFonts w:cs="Arial" w:eastAsia="Arial"/>
                <w:bCs/>
              </w:rPr>
              <w:t>IQA signature (if applicable)</w:t>
            </w:r>
          </w:p>
        </w:tc>
        <w:tc>
          <w:tcPr>
            <w:tcW w:w="7505" w:type="dxa"/>
            <w:tcBorders>
              <w:top w:val="single" w:sz="4" w:space="0" w:color="auto"/>
              <w:left w:val="single" w:sz="4" w:space="0" w:color="auto"/>
              <w:bottom w:val="single" w:sz="4" w:space="0" w:color="auto"/>
              <w:right w:val="single" w:sz="4" w:space="0" w:color="auto"/>
            </w:tcBorders>
          </w:tcPr>
          <w:p>
            <w:pPr>
              <w:pStyle w:val="style4101"/>
              <w:rPr>
                <w:rFonts w:cs="Arial"/>
              </w:rPr>
            </w:pPr>
          </w:p>
        </w:tc>
      </w:tr>
    </w:tbl>
    <w:p>
      <w:pPr>
        <w:pStyle w:val="style0"/>
        <w:rPr>
          <w:rFonts w:ascii="Arial" w:cs="Arial" w:hAnsi="Arial"/>
          <w:color w:val="000000"/>
          <w:sz w:val="20"/>
          <w:szCs w:val="20"/>
        </w:rPr>
      </w:pPr>
      <w:r>
        <w:rPr>
          <w:rFonts w:ascii="Arial" w:cs="Arial" w:hAnsi="Arial"/>
          <w:color w:val="000000"/>
          <w:sz w:val="20"/>
          <w:szCs w:val="20"/>
        </w:rPr>
        <w:br w:type="page"/>
      </w:r>
    </w:p>
    <w:tbl>
      <w:tblPr>
        <w:tblW w:w="10489" w:type="dxa"/>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bfbfbf"/>
        <w:tblCellMar>
          <w:top w:w="113" w:type="dxa"/>
          <w:left w:w="170" w:type="dxa"/>
          <w:bottom w:w="113" w:type="dxa"/>
          <w:right w:w="170" w:type="dxa"/>
        </w:tblCellMar>
        <w:tblLook w:val="04A0" w:firstRow="1" w:lastRow="0" w:firstColumn="1" w:lastColumn="0" w:noHBand="0" w:noVBand="1"/>
      </w:tblPr>
      <w:tblGrid>
        <w:gridCol w:w="568"/>
        <w:gridCol w:w="9921"/>
      </w:tblGrid>
      <w:tr>
        <w:trPr/>
        <w:tc>
          <w:tcPr>
            <w:tcW w:w="568" w:type="dxa"/>
            <w:tcBorders/>
            <w:shd w:val="clear" w:color="auto" w:fill="347789"/>
            <w:vAlign w:val="center"/>
          </w:tcPr>
          <w:p>
            <w:pPr>
              <w:pStyle w:val="style0"/>
              <w:jc w:val="center"/>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9921" w:type="dxa"/>
            <w:tcBorders/>
            <w:shd w:val="clear" w:color="auto" w:fill="347789"/>
            <w:vAlign w:val="center"/>
          </w:tcPr>
          <w:p>
            <w:pPr>
              <w:pStyle w:val="style4097"/>
              <w:rPr>
                <w:color w:val="ffffff"/>
              </w:rPr>
            </w:pPr>
            <w:r>
              <w:rPr>
                <w:color w:val="ffffff"/>
              </w:rPr>
              <w:t>DECLARATION OF AUTHENTICATION</w:t>
            </w:r>
          </w:p>
        </w:tc>
      </w:tr>
    </w:tbl>
    <w:p>
      <w:pPr>
        <w:pStyle w:val="style4099"/>
        <w:rPr>
          <w:rFonts w:ascii="Arial" w:cs="Arial" w:hAnsi="Arial"/>
        </w:rPr>
      </w:pPr>
    </w:p>
    <w:bookmarkStart w:id="8" w:name="_Hlk106618215"/>
    <w:p>
      <w:pPr>
        <w:pStyle w:val="style4099"/>
        <w:ind w:right="-144"/>
        <w:rPr>
          <w:rFonts w:ascii="Arial" w:cs="Arial" w:hAnsi="Arial"/>
          <w:b/>
          <w:bCs/>
          <w:sz w:val="20"/>
          <w:szCs w:val="20"/>
        </w:rPr>
      </w:pPr>
      <w:r>
        <w:rPr>
          <w:rFonts w:ascii="Arial" w:cs="Arial" w:hAnsi="Arial"/>
          <w:b/>
          <w:bCs/>
          <w:sz w:val="20"/>
          <w:szCs w:val="20"/>
        </w:rPr>
        <w:t>Declaration by the learner</w:t>
      </w:r>
      <w:r>
        <w:rPr>
          <w:rFonts w:ascii="Arial" w:cs="Arial" w:hAnsi="Arial"/>
          <w:sz w:val="20"/>
          <w:szCs w:val="20"/>
        </w:rPr>
        <w:t xml:space="preserve"> </w:t>
      </w:r>
      <w:r>
        <w:rPr>
          <w:rFonts w:ascii="Arial" w:cs="Arial" w:hAnsi="Arial"/>
          <w:b/>
          <w:bCs/>
          <w:sz w:val="20"/>
          <w:szCs w:val="20"/>
        </w:rPr>
        <w:t>(this box must be signed—not typed—or your assessment will not be accepted)</w:t>
      </w:r>
    </w:p>
    <w:bookmarkEnd w:id="8"/>
    <w:p>
      <w:pPr>
        <w:pStyle w:val="style4099"/>
        <w:rPr>
          <w:rFonts w:ascii="Arial" w:cs="Arial" w:hAnsi="Arial"/>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3"/>
        <w:gridCol w:w="2624"/>
        <w:gridCol w:w="1400"/>
        <w:gridCol w:w="3978"/>
      </w:tblGrid>
      <w:tr>
        <w:trPr/>
        <w:tc>
          <w:tcPr>
            <w:tcW w:w="2485" w:type="dxa"/>
            <w:tcBorders/>
            <w:vAlign w:val="center"/>
          </w:tcPr>
          <w:p>
            <w:pPr>
              <w:pStyle w:val="style4102"/>
              <w:rPr>
                <w:rFonts w:cs="Arial"/>
              </w:rPr>
            </w:pPr>
            <w:r>
              <w:rPr>
                <w:rFonts w:cs="Arial"/>
              </w:rPr>
              <w:t>Learner name</w:t>
            </w:r>
          </w:p>
        </w:tc>
        <w:tc>
          <w:tcPr>
            <w:tcW w:w="8000" w:type="dxa"/>
            <w:gridSpan w:val="3"/>
            <w:tcBorders/>
          </w:tcPr>
          <w:p>
            <w:pPr>
              <w:pStyle w:val="style4114"/>
              <w:rPr>
                <w:b/>
                <w:bCs/>
                <w:sz w:val="20"/>
                <w:szCs w:val="20"/>
              </w:rPr>
            </w:pPr>
          </w:p>
        </w:tc>
      </w:tr>
      <w:tr>
        <w:tblPrEx/>
        <w:trPr/>
        <w:tc>
          <w:tcPr>
            <w:tcW w:w="2485" w:type="dxa"/>
            <w:tcBorders/>
            <w:vAlign w:val="center"/>
          </w:tcPr>
          <w:p>
            <w:pPr>
              <w:pStyle w:val="style4102"/>
              <w:rPr>
                <w:rFonts w:cs="Arial"/>
              </w:rPr>
            </w:pPr>
            <w:r>
              <w:rPr>
                <w:rFonts w:cs="Arial"/>
              </w:rPr>
              <w:t>Learner statement of authenticity</w:t>
            </w:r>
          </w:p>
        </w:tc>
        <w:tc>
          <w:tcPr>
            <w:tcW w:w="8000" w:type="dxa"/>
            <w:gridSpan w:val="3"/>
            <w:tcBorders/>
          </w:tcPr>
          <w:p>
            <w:pPr>
              <w:pStyle w:val="style4114"/>
              <w:spacing w:before="120" w:after="120"/>
              <w:rPr>
                <w:b/>
                <w:bCs/>
                <w:sz w:val="20"/>
                <w:szCs w:val="20"/>
              </w:rPr>
            </w:pPr>
            <w:r>
              <w:rPr>
                <w:b/>
                <w:bCs/>
                <w:sz w:val="20"/>
                <w:szCs w:val="20"/>
              </w:rPr>
              <w:t>I can confirm that:</w:t>
            </w:r>
          </w:p>
          <w:p>
            <w:pPr>
              <w:pStyle w:val="style4114"/>
              <w:numPr>
                <w:ilvl w:val="0"/>
                <w:numId w:val="36"/>
              </w:numPr>
              <w:spacing w:before="120" w:after="120"/>
              <w:rPr>
                <w:sz w:val="20"/>
                <w:szCs w:val="20"/>
              </w:rPr>
            </w:pPr>
            <w:r>
              <w:rPr>
                <w:b/>
                <w:bCs/>
                <w:sz w:val="20"/>
                <w:szCs w:val="20"/>
              </w:rPr>
              <w:t>This assessment is all my own work.</w:t>
            </w:r>
          </w:p>
          <w:p>
            <w:pPr>
              <w:pStyle w:val="style4114"/>
              <w:numPr>
                <w:ilvl w:val="0"/>
                <w:numId w:val="36"/>
              </w:numPr>
              <w:spacing w:before="120" w:after="120"/>
              <w:rPr>
                <w:sz w:val="20"/>
                <w:szCs w:val="20"/>
              </w:rPr>
            </w:pPr>
            <w:r>
              <w:rPr>
                <w:b/>
                <w:bCs/>
                <w:sz w:val="20"/>
                <w:szCs w:val="20"/>
              </w:rPr>
              <w:t>Where I have used materials from other sources, they have been properly acknowledged and referenced.</w:t>
            </w:r>
          </w:p>
          <w:p>
            <w:pPr>
              <w:pStyle w:val="style4114"/>
              <w:numPr>
                <w:ilvl w:val="0"/>
                <w:numId w:val="36"/>
              </w:numPr>
              <w:spacing w:before="120" w:after="120"/>
              <w:rPr>
                <w:sz w:val="20"/>
                <w:szCs w:val="20"/>
              </w:rPr>
            </w:pPr>
            <w:r>
              <w:rPr>
                <w:b/>
                <w:bCs/>
                <w:sz w:val="20"/>
                <w:szCs w:val="20"/>
              </w:rPr>
              <w:t>I have not used Artificial Intelligence tools to generate content for my assessment.</w:t>
            </w:r>
          </w:p>
          <w:p>
            <w:pPr>
              <w:pStyle w:val="style4114"/>
              <w:spacing w:before="120" w:after="120"/>
              <w:rPr>
                <w:b/>
                <w:sz w:val="20"/>
                <w:szCs w:val="20"/>
              </w:rPr>
            </w:pPr>
            <w:r>
              <w:rPr>
                <w:b/>
                <w:sz w:val="20"/>
                <w:szCs w:val="20"/>
              </w:rPr>
              <w:t xml:space="preserve">I understand the consequences of </w:t>
            </w:r>
            <w:r>
              <w:rPr/>
              <w:fldChar w:fldCharType="begin"/>
            </w:r>
            <w:r>
              <w:instrText xml:space="preserve"> HYPERLINK "https://www.cipd.org/uk/learning/qualifications/policies/" </w:instrText>
            </w:r>
            <w:r>
              <w:rPr/>
              <w:fldChar w:fldCharType="separate"/>
            </w:r>
            <w:r>
              <w:rPr>
                <w:rStyle w:val="style85"/>
                <w:b/>
                <w:sz w:val="20"/>
                <w:szCs w:val="20"/>
              </w:rPr>
              <w:t>malpractice</w:t>
            </w:r>
            <w:r>
              <w:rPr/>
              <w:fldChar w:fldCharType="end"/>
            </w:r>
            <w:r>
              <w:rPr>
                <w:b/>
                <w:sz w:val="20"/>
                <w:szCs w:val="20"/>
              </w:rPr>
              <w:t xml:space="preserve"> and accept that any violation of this agreement may result in disciplinary action. </w:t>
            </w:r>
          </w:p>
          <w:p>
            <w:pPr>
              <w:pStyle w:val="style4114"/>
              <w:spacing w:before="120" w:after="120"/>
              <w:rPr>
                <w:b/>
                <w:sz w:val="20"/>
                <w:szCs w:val="20"/>
              </w:rPr>
            </w:pPr>
          </w:p>
        </w:tc>
      </w:tr>
      <w:tr>
        <w:tblPrEx/>
        <w:trPr/>
        <w:tc>
          <w:tcPr>
            <w:tcW w:w="2473" w:type="dxa"/>
            <w:tcBorders/>
            <w:vAlign w:val="center"/>
          </w:tcPr>
          <w:p>
            <w:pPr>
              <w:pStyle w:val="style4101"/>
              <w:rPr>
                <w:rFonts w:cs="Arial"/>
                <w:b/>
              </w:rPr>
            </w:pPr>
            <w:r>
              <w:rPr>
                <w:rFonts w:cs="Arial"/>
                <w:b/>
              </w:rPr>
              <w:t>Standardisation</w:t>
            </w:r>
          </w:p>
        </w:tc>
        <w:tc>
          <w:tcPr>
            <w:tcW w:w="8012" w:type="dxa"/>
            <w:gridSpan w:val="3"/>
            <w:tcBorders/>
          </w:tcPr>
          <w:p>
            <w:pPr>
              <w:pStyle w:val="style4101"/>
              <w:rPr>
                <w:rFonts w:cs="Arial"/>
              </w:rPr>
            </w:pPr>
            <w:r>
              <w:rPr>
                <w:rFonts w:cs="Arial"/>
              </w:rPr>
              <w:t>I am aware my assessment may be chosen for standardisation purposes on the understanding that the content will be anonymised.</w:t>
            </w:r>
          </w:p>
        </w:tc>
      </w:tr>
      <w:tr>
        <w:tblPrEx/>
        <w:trPr/>
        <w:tc>
          <w:tcPr>
            <w:tcW w:w="2473" w:type="dxa"/>
            <w:tcBorders/>
            <w:vAlign w:val="center"/>
          </w:tcPr>
          <w:p>
            <w:pPr>
              <w:pStyle w:val="style4102"/>
              <w:rPr>
                <w:rFonts w:cs="Arial"/>
              </w:rPr>
            </w:pPr>
            <w:r>
              <w:rPr>
                <w:rFonts w:cs="Arial"/>
              </w:rPr>
              <w:t>Signed</w:t>
            </w:r>
          </w:p>
        </w:tc>
        <w:tc>
          <w:tcPr>
            <w:tcW w:w="2626" w:type="dxa"/>
            <w:tcBorders/>
          </w:tcPr>
          <w:p>
            <w:pPr>
              <w:pStyle w:val="style4101"/>
              <w:rPr>
                <w:rFonts w:cs="Arial"/>
              </w:rPr>
            </w:pPr>
            <w:r>
              <w:rPr>
                <w:rFonts w:cs="Arial" w:eastAsia="Arial"/>
                <w:noProof/>
                <w:color w:val="000000"/>
                <w:szCs w:val="20"/>
              </w:rPr>
              <w:drawing>
                <wp:inline distL="0" distT="0" distB="0" distR="0">
                  <wp:extent cx="913764" cy="219710"/>
                  <wp:effectExtent l="0" t="0" r="0" b="0"/>
                  <wp:docPr id="1026" name="image7.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7.png"/>
                          <pic:cNvPicPr/>
                        </pic:nvPicPr>
                        <pic:blipFill>
                          <a:blip r:embed="rId2" cstate="print"/>
                          <a:srcRect l="22881" t="15692" r="25603" b="33431"/>
                          <a:stretch/>
                        </pic:blipFill>
                        <pic:spPr>
                          <a:xfrm rot="0">
                            <a:off x="0" y="0"/>
                            <a:ext cx="913764" cy="219710"/>
                          </a:xfrm>
                          <a:prstGeom prst="rect"/>
                        </pic:spPr>
                      </pic:pic>
                    </a:graphicData>
                  </a:graphic>
                </wp:inline>
              </w:drawing>
            </w:r>
          </w:p>
        </w:tc>
        <w:tc>
          <w:tcPr>
            <w:tcW w:w="1402" w:type="dxa"/>
            <w:tcBorders/>
            <w:vAlign w:val="center"/>
          </w:tcPr>
          <w:p>
            <w:pPr>
              <w:pStyle w:val="style4102"/>
              <w:rPr>
                <w:rFonts w:cs="Arial"/>
              </w:rPr>
            </w:pPr>
            <w:r>
              <w:rPr>
                <w:rFonts w:cs="Arial"/>
              </w:rPr>
              <w:t>Date</w:t>
            </w:r>
          </w:p>
        </w:tc>
        <w:tc>
          <w:tcPr>
            <w:tcW w:w="3984" w:type="dxa"/>
            <w:tcBorders/>
          </w:tcPr>
          <w:p>
            <w:pPr>
              <w:pStyle w:val="style4101"/>
              <w:rPr>
                <w:rFonts w:cs="Arial"/>
              </w:rPr>
            </w:pPr>
            <w:r>
              <w:rPr>
                <w:rFonts w:cs="Arial"/>
              </w:rPr>
              <w:t>8/14/2025</w:t>
            </w:r>
          </w:p>
        </w:tc>
      </w:tr>
    </w:tbl>
    <w:p>
      <w:pPr>
        <w:pStyle w:val="style4099"/>
        <w:rPr>
          <w:rFonts w:ascii="Arial" w:cs="Arial" w:hAnsi="Arial"/>
        </w:rPr>
      </w:pPr>
    </w:p>
    <w:p>
      <w:pPr>
        <w:pStyle w:val="style4099"/>
        <w:rPr>
          <w:rFonts w:ascii="Arial" w:cs="Arial" w:hAnsi="Arial"/>
          <w:b/>
          <w:bCs/>
          <w:sz w:val="20"/>
          <w:szCs w:val="20"/>
        </w:rPr>
      </w:pPr>
    </w:p>
    <w:bookmarkStart w:id="9" w:name="_Hlk107924798"/>
    <w:p>
      <w:pPr>
        <w:pStyle w:val="style4099"/>
        <w:rPr>
          <w:rFonts w:ascii="Arial" w:cs="Arial" w:hAnsi="Arial"/>
          <w:b/>
          <w:bCs/>
          <w:sz w:val="20"/>
          <w:szCs w:val="20"/>
        </w:rPr>
      </w:pPr>
      <w:r>
        <w:rPr>
          <w:rFonts w:ascii="Arial" w:cs="Arial" w:hAnsi="Arial"/>
          <w:b/>
          <w:bCs/>
          <w:sz w:val="20"/>
          <w:szCs w:val="20"/>
        </w:rPr>
        <w:t>Declaration by the centre</w:t>
      </w:r>
    </w:p>
    <w:bookmarkEnd w:id="9"/>
    <w:p>
      <w:pPr>
        <w:pStyle w:val="style4099"/>
        <w:rPr>
          <w:rFonts w:ascii="Arial" w:cs="Arial" w:hAnsi="Arial"/>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2829"/>
        <w:gridCol w:w="1615"/>
        <w:gridCol w:w="3743"/>
      </w:tblGrid>
      <w:tr>
        <w:trPr/>
        <w:tc>
          <w:tcPr>
            <w:tcW w:w="2269" w:type="dxa"/>
            <w:tcBorders/>
            <w:vAlign w:val="center"/>
          </w:tcPr>
          <w:p>
            <w:pPr>
              <w:pStyle w:val="style4102"/>
              <w:rPr>
                <w:rFonts w:cs="Arial"/>
              </w:rPr>
            </w:pPr>
            <w:r>
              <w:rPr>
                <w:rFonts w:cs="Arial"/>
              </w:rPr>
              <w:t>Centre statement of authenticity</w:t>
            </w:r>
          </w:p>
        </w:tc>
        <w:tc>
          <w:tcPr>
            <w:tcW w:w="8187" w:type="dxa"/>
            <w:gridSpan w:val="3"/>
            <w:tcBorders/>
          </w:tcPr>
          <w:p>
            <w:pPr>
              <w:pStyle w:val="style4101"/>
              <w:rPr>
                <w:rFonts w:cs="Arial"/>
                <w:noProof/>
              </w:rPr>
            </w:pPr>
            <w:r>
              <w:rPr>
                <w:rFonts w:cs="Arial"/>
                <w:noProof/>
              </w:rPr>
              <w:t>On behalf of the centre, I confirm that the above mentioned learner is registered at the centre on a CIPD programme of study.</w:t>
            </w:r>
          </w:p>
          <w:p>
            <w:pPr>
              <w:pStyle w:val="style4114"/>
              <w:rPr>
                <w:b/>
                <w:bCs/>
                <w:sz w:val="20"/>
                <w:szCs w:val="20"/>
              </w:rPr>
            </w:pPr>
            <w:r>
              <w:rPr>
                <w:b/>
                <w:bCs/>
                <w:sz w:val="20"/>
                <w:szCs w:val="20"/>
              </w:rPr>
              <w:t>I confirm that</w:t>
            </w:r>
          </w:p>
          <w:p>
            <w:pPr>
              <w:pStyle w:val="style4114"/>
              <w:rPr>
                <w:sz w:val="20"/>
                <w:szCs w:val="20"/>
              </w:rPr>
            </w:pPr>
          </w:p>
          <w:p>
            <w:pPr>
              <w:pStyle w:val="style4114"/>
              <w:numPr>
                <w:ilvl w:val="0"/>
                <w:numId w:val="14"/>
              </w:numPr>
              <w:rPr>
                <w:sz w:val="20"/>
                <w:szCs w:val="20"/>
              </w:rPr>
            </w:pPr>
            <w:r>
              <w:rPr>
                <w:b/>
                <w:bCs/>
                <w:sz w:val="20"/>
                <w:szCs w:val="20"/>
              </w:rPr>
              <w:t>the learner’s work was conducted under the conditions laid out by the assessment brief</w:t>
            </w:r>
          </w:p>
          <w:p>
            <w:pPr>
              <w:pStyle w:val="style4114"/>
              <w:numPr>
                <w:ilvl w:val="0"/>
                <w:numId w:val="14"/>
              </w:numPr>
              <w:rPr>
                <w:sz w:val="20"/>
                <w:szCs w:val="20"/>
              </w:rPr>
            </w:pPr>
            <w:r>
              <w:rPr>
                <w:b/>
                <w:bCs/>
                <w:sz w:val="20"/>
                <w:szCs w:val="20"/>
              </w:rPr>
              <w:t>I am satisfied that, to the best of my knowledge, the work produced is solely that of the learner</w:t>
            </w:r>
          </w:p>
          <w:p>
            <w:pPr>
              <w:pStyle w:val="style4114"/>
              <w:rPr>
                <w:sz w:val="20"/>
                <w:szCs w:val="20"/>
              </w:rPr>
            </w:pPr>
          </w:p>
        </w:tc>
      </w:tr>
      <w:tr>
        <w:tblPrEx/>
        <w:trPr/>
        <w:tc>
          <w:tcPr>
            <w:tcW w:w="2269" w:type="dxa"/>
            <w:tcBorders/>
            <w:vAlign w:val="center"/>
          </w:tcPr>
          <w:p>
            <w:pPr>
              <w:pStyle w:val="style4102"/>
              <w:rPr>
                <w:rFonts w:cs="Arial"/>
              </w:rPr>
            </w:pPr>
            <w:r>
              <w:rPr>
                <w:rFonts w:cs="Arial"/>
              </w:rPr>
              <w:t>Name</w:t>
            </w:r>
          </w:p>
        </w:tc>
        <w:tc>
          <w:tcPr>
            <w:tcW w:w="2829" w:type="dxa"/>
            <w:tcBorders/>
          </w:tcPr>
          <w:p>
            <w:pPr>
              <w:pStyle w:val="style4101"/>
              <w:rPr>
                <w:rFonts w:cs="Arial"/>
                <w:highlight w:val="yellow"/>
              </w:rPr>
            </w:pPr>
            <w:r>
              <w:rPr>
                <w:rFonts w:cs="Arial"/>
              </w:rPr>
              <w:t>Janet Brown</w:t>
            </w:r>
          </w:p>
        </w:tc>
        <w:tc>
          <w:tcPr>
            <w:tcW w:w="1615" w:type="dxa"/>
            <w:tcBorders/>
            <w:vAlign w:val="center"/>
          </w:tcPr>
          <w:p>
            <w:pPr>
              <w:pStyle w:val="style4102"/>
              <w:rPr>
                <w:rFonts w:cs="Arial"/>
              </w:rPr>
            </w:pPr>
            <w:r>
              <w:rPr>
                <w:rFonts w:cs="Arial"/>
              </w:rPr>
              <w:t>Role</w:t>
            </w:r>
          </w:p>
        </w:tc>
        <w:tc>
          <w:tcPr>
            <w:tcW w:w="3743" w:type="dxa"/>
            <w:tcBorders/>
          </w:tcPr>
          <w:p>
            <w:pPr>
              <w:pStyle w:val="style4101"/>
              <w:rPr>
                <w:rFonts w:cs="Arial"/>
              </w:rPr>
            </w:pPr>
            <w:r>
              <w:rPr>
                <w:rFonts w:cs="Arial"/>
              </w:rPr>
              <w:t>Quality Manager</w:t>
            </w:r>
          </w:p>
        </w:tc>
      </w:tr>
      <w:tr>
        <w:tblPrEx/>
        <w:trPr/>
        <w:tc>
          <w:tcPr>
            <w:tcW w:w="2269" w:type="dxa"/>
            <w:tcBorders/>
          </w:tcPr>
          <w:p>
            <w:pPr>
              <w:pStyle w:val="style4102"/>
              <w:rPr>
                <w:rFonts w:cs="Arial"/>
              </w:rPr>
            </w:pPr>
            <w:r>
              <w:rPr>
                <w:rFonts w:cs="Arial"/>
              </w:rPr>
              <w:t>Signed</w:t>
            </w:r>
          </w:p>
        </w:tc>
        <w:tc>
          <w:tcPr>
            <w:tcW w:w="2829" w:type="dxa"/>
            <w:tcBorders/>
          </w:tcPr>
          <w:p>
            <w:pPr>
              <w:pStyle w:val="style4101"/>
              <w:rPr>
                <w:rFonts w:cs="Arial"/>
              </w:rPr>
            </w:pPr>
          </w:p>
        </w:tc>
        <w:tc>
          <w:tcPr>
            <w:tcW w:w="1615" w:type="dxa"/>
            <w:tcBorders/>
            <w:vAlign w:val="center"/>
          </w:tcPr>
          <w:p>
            <w:pPr>
              <w:pStyle w:val="style4102"/>
              <w:rPr>
                <w:rFonts w:cs="Arial"/>
              </w:rPr>
            </w:pPr>
            <w:r>
              <w:rPr>
                <w:rFonts w:cs="Arial"/>
              </w:rPr>
              <w:t>Date</w:t>
            </w:r>
          </w:p>
        </w:tc>
        <w:tc>
          <w:tcPr>
            <w:tcW w:w="3743" w:type="dxa"/>
            <w:tcBorders/>
          </w:tcPr>
          <w:p>
            <w:pPr>
              <w:pStyle w:val="style4101"/>
              <w:rPr>
                <w:rFonts w:cs="Arial"/>
              </w:rPr>
            </w:pPr>
          </w:p>
        </w:tc>
      </w:tr>
    </w:tbl>
    <w:p>
      <w:pPr>
        <w:pStyle w:val="style4103"/>
        <w:spacing w:before="0" w:after="0"/>
        <w:rPr>
          <w:rFonts w:cs="Arial"/>
        </w:rPr>
      </w:pPr>
    </w:p>
    <w:p>
      <w:pPr>
        <w:pStyle w:val="style0"/>
        <w:rPr>
          <w:rFonts w:ascii="Arial" w:cs="Arial" w:hAnsi="Arial"/>
          <w:sz w:val="20"/>
        </w:rPr>
      </w:pPr>
      <w:r>
        <w:rPr>
          <w:rFonts w:cs="Arial"/>
        </w:rPr>
        <w:br w:type="page"/>
      </w:r>
    </w:p>
    <w:tbl>
      <w:tblPr>
        <w:tblW w:w="10489" w:type="dxa"/>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bfbfbf"/>
        <w:tblCellMar>
          <w:top w:w="113" w:type="dxa"/>
          <w:left w:w="170" w:type="dxa"/>
          <w:bottom w:w="113" w:type="dxa"/>
          <w:right w:w="170" w:type="dxa"/>
        </w:tblCellMar>
        <w:tblLook w:val="04A0" w:firstRow="1" w:lastRow="0" w:firstColumn="1" w:lastColumn="0" w:noHBand="0" w:noVBand="1"/>
      </w:tblPr>
      <w:tblGrid>
        <w:gridCol w:w="568"/>
        <w:gridCol w:w="9921"/>
      </w:tblGrid>
      <w:tr>
        <w:trPr/>
        <w:tc>
          <w:tcPr>
            <w:tcW w:w="568" w:type="dxa"/>
            <w:tcBorders/>
            <w:shd w:val="clear" w:color="auto" w:fill="347789"/>
            <w:vAlign w:val="center"/>
          </w:tcPr>
          <w:p>
            <w:pPr>
              <w:pStyle w:val="style0"/>
              <w:jc w:val="center"/>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9921" w:type="dxa"/>
            <w:tcBorders/>
            <w:shd w:val="clear" w:color="auto" w:fill="347789"/>
            <w:vAlign w:val="center"/>
          </w:tcPr>
          <w:p>
            <w:pPr>
              <w:pStyle w:val="style4097"/>
              <w:rPr>
                <w:color w:val="ffffff"/>
              </w:rPr>
            </w:pPr>
            <w:r>
              <w:rPr>
                <w:color w:val="ffffff"/>
              </w:rPr>
              <w:t>Organisational performance and culture in practice</w:t>
            </w:r>
          </w:p>
        </w:tc>
      </w:tr>
    </w:tbl>
    <w:p>
      <w:pPr>
        <w:pStyle w:val="style4103"/>
        <w:spacing w:before="0" w:after="0"/>
        <w:rPr>
          <w:rFonts w:cs="Arial"/>
        </w:rPr>
      </w:pPr>
    </w:p>
    <w:p>
      <w:pPr>
        <w:pStyle w:val="style4103"/>
        <w:ind w:left="284"/>
        <w:rPr>
          <w:rFonts w:cs="Arial"/>
          <w:color w:val="000000"/>
          <w:sz w:val="22"/>
        </w:rPr>
      </w:pPr>
      <w:r>
        <w:rPr>
          <w:rFonts w:cs="Arial"/>
          <w:color w:val="000000"/>
          <w:sz w:val="22"/>
        </w:rPr>
        <w:t>This unit assessment examines the connections between organisational structure and the wider world of work in a business context. It highlights the factors and trends, including the digital environment, that impact on business strategy and workforce planning, recognising the influence of culture, employee wellbeing and behaviour in delivering change and organisational performance.</w:t>
      </w:r>
    </w:p>
    <w:p>
      <w:pPr>
        <w:pStyle w:val="style4103"/>
        <w:spacing w:before="0" w:after="0"/>
        <w:rPr/>
      </w:pPr>
    </w:p>
    <w:tbl>
      <w:tblPr>
        <w:tblW w:w="5064" w:type="pct"/>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bfbfbf"/>
        <w:tblLayout w:type="fixed"/>
        <w:tblCellMar>
          <w:top w:w="113" w:type="dxa"/>
          <w:left w:w="170" w:type="dxa"/>
          <w:bottom w:w="113" w:type="dxa"/>
          <w:right w:w="170" w:type="dxa"/>
        </w:tblCellMar>
        <w:tblLook w:val="04A0" w:firstRow="1" w:lastRow="0" w:firstColumn="1" w:lastColumn="0" w:noHBand="0" w:noVBand="1"/>
      </w:tblPr>
      <w:tblGrid>
        <w:gridCol w:w="560"/>
        <w:gridCol w:w="9714"/>
      </w:tblGrid>
      <w:tr>
        <w:trPr/>
        <w:tc>
          <w:tcPr>
            <w:tcW w:w="560" w:type="dxa"/>
            <w:tcBorders/>
            <w:shd w:val="clear" w:color="auto" w:fill="91bebc"/>
            <w:vAlign w:val="center"/>
          </w:tcPr>
          <w:p>
            <w:pPr>
              <w:pStyle w:val="style0"/>
              <w:spacing w:after="0" w:lineRule="auto" w:line="240"/>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9714" w:type="dxa"/>
            <w:tcBorders/>
            <w:shd w:val="clear" w:color="auto" w:fill="91bebc"/>
            <w:vAlign w:val="center"/>
          </w:tcPr>
          <w:p>
            <w:pPr>
              <w:pStyle w:val="style4097"/>
              <w:rPr>
                <w:color w:val="ffffff"/>
              </w:rPr>
            </w:pPr>
            <w:r>
              <w:rPr>
                <w:color w:val="ffffff"/>
              </w:rPr>
              <w:t>task</w:t>
            </w:r>
          </w:p>
        </w:tc>
      </w:tr>
    </w:tbl>
    <w:p>
      <w:pPr>
        <w:pStyle w:val="style4103"/>
        <w:spacing w:before="0" w:after="0"/>
        <w:rPr>
          <w:rFonts w:cs="Arial"/>
          <w:color w:val="000000"/>
          <w:szCs w:val="20"/>
        </w:rPr>
      </w:pPr>
    </w:p>
    <w:p>
      <w:pPr>
        <w:pStyle w:val="style4120"/>
        <w:ind w:left="284"/>
        <w:rPr>
          <w:rFonts w:ascii="Arial" w:cs="Arial" w:eastAsia="Times New Roman" w:hAnsi="Arial"/>
          <w:color w:val="auto"/>
          <w:szCs w:val="22"/>
          <w:lang w:eastAsia="en-GB"/>
        </w:rPr>
      </w:pPr>
      <w:r>
        <w:rPr>
          <w:rFonts w:ascii="Arial" w:cs="Arial" w:eastAsia="Times New Roman" w:hAnsi="Arial"/>
          <w:color w:val="auto"/>
          <w:szCs w:val="22"/>
          <w:lang w:eastAsia="en-GB"/>
        </w:rPr>
        <w:t xml:space="preserve">This task requires you to answer </w:t>
      </w:r>
      <w:r>
        <w:rPr>
          <w:rFonts w:ascii="Arial" w:cs="Arial" w:eastAsia="Times New Roman" w:hAnsi="Arial"/>
          <w:b/>
          <w:bCs/>
          <w:color w:val="auto"/>
          <w:szCs w:val="22"/>
          <w:lang w:eastAsia="en-GB"/>
        </w:rPr>
        <w:t>12</w:t>
      </w:r>
      <w:r>
        <w:rPr>
          <w:rFonts w:ascii="Arial" w:cs="Arial" w:eastAsia="Times New Roman" w:hAnsi="Arial"/>
          <w:color w:val="auto"/>
          <w:szCs w:val="22"/>
          <w:lang w:eastAsia="en-GB"/>
        </w:rPr>
        <w:t xml:space="preserve"> questions, each relating to the case study. Your answers should respond accurately to the questions and should be informed by wider reading from key academic texts, articles and relevant publications. References should be included within your answers and full details presented in a bibliography at the end of your assessment.</w:t>
      </w:r>
    </w:p>
    <w:p>
      <w:pPr>
        <w:pStyle w:val="style4120"/>
        <w:ind w:left="284"/>
        <w:rPr>
          <w:rFonts w:ascii="Arial" w:cs="Arial" w:hAnsi="Arial"/>
        </w:rPr>
      </w:pPr>
      <w:r>
        <w:rPr>
          <w:rFonts w:ascii="Arial" w:cs="Arial" w:eastAsia="Times New Roman" w:hAnsi="Arial"/>
          <w:color w:val="auto"/>
          <w:szCs w:val="22"/>
          <w:lang w:eastAsia="en-GB"/>
        </w:rPr>
        <w:t>Please ensure that your work is presented clearly, typically using sub-headings or AC references to link your responses to the questions, and that your work complies with the word count requirements stated at the end of the assessment brief. If you exceed the word count by more than 10% your work will be referred. References should be included within your answers (unless the question specifically states that these are not required) and full details presented in a reference list at the end of your assessment.</w:t>
      </w:r>
    </w:p>
    <w:p>
      <w:pPr>
        <w:pStyle w:val="style4120"/>
        <w:ind w:left="284"/>
        <w:rPr>
          <w:rFonts w:ascii="Arial" w:cs="Arial" w:hAnsi="Arial"/>
        </w:rPr>
      </w:pPr>
    </w:p>
    <w:tbl>
      <w:tblPr>
        <w:tblW w:w="5064" w:type="pct"/>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bfbfbf"/>
        <w:tblLayout w:type="fixed"/>
        <w:tblCellMar>
          <w:top w:w="113" w:type="dxa"/>
          <w:left w:w="170" w:type="dxa"/>
          <w:bottom w:w="113" w:type="dxa"/>
          <w:right w:w="170" w:type="dxa"/>
        </w:tblCellMar>
        <w:tblLook w:val="04A0" w:firstRow="1" w:lastRow="0" w:firstColumn="1" w:lastColumn="0" w:noHBand="0" w:noVBand="1"/>
      </w:tblPr>
      <w:tblGrid>
        <w:gridCol w:w="560"/>
        <w:gridCol w:w="9714"/>
      </w:tblGrid>
      <w:tr>
        <w:trPr/>
        <w:tc>
          <w:tcPr>
            <w:tcW w:w="560" w:type="dxa"/>
            <w:tcBorders/>
            <w:shd w:val="clear" w:color="auto" w:fill="91bebc"/>
            <w:vAlign w:val="center"/>
          </w:tcPr>
          <w:p>
            <w:pPr>
              <w:pStyle w:val="style0"/>
              <w:spacing w:after="0" w:lineRule="auto" w:line="240"/>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9714" w:type="dxa"/>
            <w:tcBorders/>
            <w:shd w:val="clear" w:color="auto" w:fill="91bebc"/>
            <w:vAlign w:val="center"/>
          </w:tcPr>
          <w:p>
            <w:pPr>
              <w:pStyle w:val="style4097"/>
              <w:rPr>
                <w:color w:val="ffffff"/>
              </w:rPr>
            </w:pPr>
            <w:r>
              <w:rPr>
                <w:color w:val="ffffff"/>
              </w:rPr>
              <w:t>case study</w:t>
            </w:r>
          </w:p>
        </w:tc>
      </w:tr>
    </w:tbl>
    <w:p>
      <w:pPr>
        <w:pStyle w:val="style4120"/>
        <w:ind w:left="284"/>
        <w:rPr>
          <w:rFonts w:ascii="Arial" w:cs="Arial" w:hAnsi="Arial"/>
        </w:rPr>
      </w:pPr>
    </w:p>
    <w:p>
      <w:pPr>
        <w:pStyle w:val="style0"/>
        <w:ind w:left="284"/>
        <w:rPr>
          <w:rFonts w:ascii="Arial" w:cs="Arial" w:hAnsi="Arial"/>
          <w:color w:val="000000"/>
        </w:rPr>
      </w:pPr>
      <w:r>
        <w:rPr>
          <w:rFonts w:ascii="Arial" w:cs="Arial" w:hAnsi="Arial"/>
          <w:color w:val="000000"/>
        </w:rPr>
        <w:t xml:space="preserve">Calmere House provides respite and residential care for adults with care needs. Established in 1974 by David and Anna Calmere, Calmere House’s ethos is centred around high quality care with a personal touch. David and Anna’s daughter, Kirsten, took over the business in 2002 when David and Anna retired. </w:t>
      </w:r>
    </w:p>
    <w:p>
      <w:pPr>
        <w:pStyle w:val="style0"/>
        <w:ind w:left="284"/>
        <w:rPr>
          <w:rFonts w:ascii="Arial" w:cs="Arial" w:hAnsi="Arial"/>
          <w:color w:val="000000"/>
        </w:rPr>
      </w:pPr>
      <w:r>
        <w:rPr>
          <w:rFonts w:ascii="Arial" w:cs="Arial" w:hAnsi="Arial"/>
          <w:color w:val="000000"/>
        </w:rPr>
        <w:t>Kirsten’s consultative management style is similar to that of her parents. She values employee input into management decisions as employees have qualifications, skills, and experience in their specialist fields of work. Kirsten holds regular staff meetings as well as one to one check-ins. The purpose of these meetings is to communicate information about the progress of Calmere House against its business goals and to gain the views of employees on the best way to achieve these goals. The nursing staff hold handover meetings at the end of each shift and work well as a team. Employee retention is high, and employees feel strong engagement and commitment to the residents, their co-workers and to Kirsten. When an employee leaves, co-workers participate in the selection process, with behaviours viewed as being as important as qualifications and experience. Onboarding includes details of the history of Calmere House, with Kirsten telling stories about how her parents founded the Company and sold their own home to raise the money needed. Policies and procedures are limited, with informal ad-hoc approaches in place. Calmere House has a flat organisational structure with all 42 employees reporting directly to Kirsten.</w:t>
      </w:r>
    </w:p>
    <w:p>
      <w:pPr>
        <w:pStyle w:val="style0"/>
        <w:ind w:left="284"/>
        <w:rPr>
          <w:rFonts w:ascii="Arial" w:cs="Arial" w:hAnsi="Arial"/>
          <w:color w:val="000000"/>
        </w:rPr>
      </w:pPr>
      <w:r>
        <w:rPr>
          <w:rFonts w:ascii="Arial" w:cs="Arial" w:hAnsi="Arial"/>
          <w:color w:val="000000"/>
        </w:rPr>
        <w:t>After more than two decades of running the care home, Kirsten has now decided that she would like to pursue her own, rather than her parents’ interests. In addition, Kirsten is worried about continuing increases in utility and staff costs and feels these may compromise residents’ care. Kirsten decides to sell the business and use the money raised to start her own new business, a spa and wellness centre.</w:t>
      </w:r>
    </w:p>
    <w:p>
      <w:pPr>
        <w:pStyle w:val="style0"/>
        <w:ind w:left="284"/>
        <w:rPr>
          <w:rFonts w:ascii="Arial" w:cs="Arial" w:hAnsi="Arial"/>
          <w:color w:val="000000"/>
        </w:rPr>
      </w:pPr>
    </w:p>
    <w:p>
      <w:pPr>
        <w:pStyle w:val="style0"/>
        <w:ind w:left="284"/>
        <w:rPr>
          <w:rFonts w:ascii="Arial" w:cs="Arial" w:hAnsi="Arial"/>
          <w:color w:val="000000"/>
        </w:rPr>
      </w:pPr>
    </w:p>
    <w:p>
      <w:pPr>
        <w:pStyle w:val="style0"/>
        <w:ind w:left="284"/>
        <w:rPr>
          <w:rFonts w:ascii="Arial" w:cs="Arial" w:hAnsi="Arial"/>
          <w:color w:val="000000"/>
        </w:rPr>
      </w:pPr>
      <w:r>
        <w:rPr>
          <w:rFonts w:ascii="Arial" w:cs="Arial" w:hAnsi="Arial"/>
          <w:color w:val="000000"/>
        </w:rPr>
        <w:t>After great deliberation, Kirsten decides to sell Calmere House to Chaffinch Group, a large care home company. Kirsten feels that Chaffinch Group have the resources to invest in much needed refurbishment of residents’ rooms and facilities and will provide her employees with greater job security.</w:t>
      </w:r>
    </w:p>
    <w:p>
      <w:pPr>
        <w:pStyle w:val="style0"/>
        <w:ind w:left="284"/>
        <w:rPr>
          <w:rFonts w:ascii="Arial" w:cs="Arial" w:hAnsi="Arial"/>
        </w:rPr>
      </w:pPr>
      <w:r>
        <w:rPr>
          <w:rFonts w:ascii="Arial" w:cs="Arial" w:hAnsi="Arial"/>
        </w:rPr>
        <w:t xml:space="preserve">The sale goes ahead. Kirsten advises the employees of the sale and explains why it was necessary. Employees are shocked and find it hard to believe that the sale will go ahead as Kirsten had managed the business with passion and Calmere House was the focus of her life. Chaffinch Group appoints a manager, Kath, who has worked for Chaffinch Group for five years, and the Company starts to refurbish rooms. Chaffinch Group change the organisational structure to a hierarchical, bureaucratic structure. The workforce reports to Kath, Kath reports to one of eight area managers, who reports to one of two general managers, who reports to an operations director. Kath’s management style is autocratic; she gives instructions and expects them to be followed without discussion. When challenged by employees she responds, “I know what Chaffinch wants, and they need to see a return on their investment”. Chaffinch Group introduces the same policies and procedures in Calmere House that are in place throughout the rest of the Group, advising employees of these by email. The People team at Chaffinch Group consists of a people manager, a recruitment advisor, an employment relations case advisor, and an administrator. </w:t>
      </w:r>
    </w:p>
    <w:p>
      <w:pPr>
        <w:pStyle w:val="style0"/>
        <w:ind w:left="284"/>
        <w:rPr>
          <w:rFonts w:ascii="Arial" w:cs="Arial" w:hAnsi="Arial"/>
        </w:rPr>
      </w:pPr>
      <w:r>
        <w:rPr>
          <w:rFonts w:ascii="Arial" w:cs="Arial" w:hAnsi="Arial"/>
        </w:rPr>
        <w:t xml:space="preserve">Residents are also becoming disgruntled. Initially, they welcomed the idea of room refurbishments but have found that the rooms now lack individual character, and all look the same. Previously, permanent residents could choose the colour schemes and decor of their rooms and great care was taken to ensure the residents’ preferences were actioned. </w:t>
      </w:r>
    </w:p>
    <w:p>
      <w:pPr>
        <w:pStyle w:val="style0"/>
        <w:ind w:left="284"/>
        <w:rPr>
          <w:rFonts w:ascii="Arial" w:cs="Arial" w:hAnsi="Arial"/>
        </w:rPr>
      </w:pPr>
      <w:r>
        <w:rPr>
          <w:rFonts w:ascii="Arial" w:cs="Arial" w:hAnsi="Arial"/>
        </w:rPr>
        <w:t xml:space="preserve">As time goes on, employees start to leave as they do not like the new culture; they are often replaced with agency workers. Kath notifies the Agency of the requirement for the roles, the agency workers’ qualifications and experience are checked by the Agency and an agency worker is offered the work. Chaffinch Group does not undertake any further assessment of their suitability. In addition to employee turnover increasing, sickness absence has also risen. Existing employees are starting to feel hopeless and are becoming more dissatisfied as they find that: their workloads have increased as they cover absences; they miss the support of co-workers who have left; they work longer hours to reduce the impact on residents; they feel their views and opinions are no longer sought or valued; and they no longer know what the business is planning or how plans will affect them. Overall, employees feel that the change in ownership is not positive and was not managed well. </w:t>
      </w:r>
    </w:p>
    <w:p>
      <w:pPr>
        <w:pStyle w:val="style0"/>
        <w:ind w:left="284"/>
        <w:rPr>
          <w:rFonts w:ascii="Arial" w:cs="Arial" w:hAnsi="Arial"/>
        </w:rPr>
      </w:pPr>
      <w:r>
        <w:rPr>
          <w:rFonts w:ascii="Arial" w:cs="Arial" w:hAnsi="Arial"/>
        </w:rPr>
        <w:t>Chaffinch Group is also unhappy. Calmere House is not generating the income anticipated due to long-term residents choosing to move to alternative care homes and difficulties in attracting new permanent residents and new respite care residents. Chaffinch Group are wondering why a previously stable workforce now has high employee turnover and why Calmere House has changed from the care home that had a waiting list of potential residents to one with empty rooms. Chaffinch Group have set a goal to fill 100% of resident rooms within six months.</w:t>
      </w:r>
    </w:p>
    <w:p>
      <w:pPr>
        <w:pStyle w:val="style0"/>
        <w:rPr>
          <w:rFonts w:ascii="Arial" w:cs="Arial" w:hAnsi="Arial"/>
          <w:color w:val="000000"/>
        </w:rPr>
      </w:pPr>
      <w:r>
        <w:rPr>
          <w:rFonts w:ascii="Arial" w:cs="Arial" w:hAnsi="Arial"/>
          <w:i/>
          <w:iCs/>
          <w:color w:val="000000"/>
        </w:rPr>
        <w:br w:type="page"/>
      </w:r>
    </w:p>
    <w:tbl>
      <w:tblPr>
        <w:tblW w:w="5064" w:type="pct"/>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bfbfbf"/>
        <w:tblLayout w:type="fixed"/>
        <w:tblCellMar>
          <w:top w:w="113" w:type="dxa"/>
          <w:left w:w="170" w:type="dxa"/>
          <w:bottom w:w="113" w:type="dxa"/>
          <w:right w:w="170" w:type="dxa"/>
        </w:tblCellMar>
        <w:tblLook w:val="04A0" w:firstRow="1" w:lastRow="0" w:firstColumn="1" w:lastColumn="0" w:noHBand="0" w:noVBand="1"/>
      </w:tblPr>
      <w:tblGrid>
        <w:gridCol w:w="560"/>
        <w:gridCol w:w="9714"/>
      </w:tblGrid>
      <w:tr>
        <w:trPr/>
        <w:tc>
          <w:tcPr>
            <w:tcW w:w="560" w:type="dxa"/>
            <w:tcBorders/>
            <w:shd w:val="clear" w:color="auto" w:fill="91bebc"/>
            <w:vAlign w:val="center"/>
          </w:tcPr>
          <w:p>
            <w:pPr>
              <w:pStyle w:val="style0"/>
              <w:spacing w:after="0" w:lineRule="auto" w:line="240"/>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9714" w:type="dxa"/>
            <w:tcBorders/>
            <w:shd w:val="clear" w:color="auto" w:fill="91bebc"/>
            <w:vAlign w:val="center"/>
          </w:tcPr>
          <w:p>
            <w:pPr>
              <w:pStyle w:val="style4097"/>
              <w:rPr>
                <w:color w:val="ffffff"/>
              </w:rPr>
            </w:pPr>
            <w:r>
              <w:rPr>
                <w:color w:val="ffffff"/>
              </w:rPr>
              <w:t>Questions</w:t>
            </w:r>
          </w:p>
        </w:tc>
      </w:tr>
    </w:tbl>
    <w:p>
      <w:pPr>
        <w:pStyle w:val="style1"/>
        <w:spacing w:before="0" w:after="0" w:lineRule="auto" w:line="240"/>
        <w:ind w:left="142"/>
        <w:rPr>
          <w:rFonts w:ascii="Arial" w:cs="Arial" w:hAnsi="Arial"/>
          <w:i w:val="false"/>
          <w:iCs w:val="false"/>
          <w:color w:val="000000"/>
          <w:sz w:val="22"/>
          <w:szCs w:val="22"/>
        </w:rPr>
      </w:pPr>
    </w:p>
    <w:bookmarkStart w:id="10" w:name="_Hlk159579697"/>
    <w:p>
      <w:pPr>
        <w:pStyle w:val="style0"/>
        <w:snapToGrid w:val="false"/>
        <w:spacing w:after="240" w:lineRule="auto" w:line="240"/>
        <w:ind w:left="851" w:hanging="567"/>
        <w:rPr>
          <w:rFonts w:ascii="Arial" w:cs="Arial" w:hAnsi="Arial"/>
          <w:color w:val="000000"/>
        </w:rPr>
      </w:pPr>
      <w:r>
        <w:rPr>
          <w:rFonts w:ascii="Arial" w:cs="Arial" w:hAnsi="Arial"/>
          <w:b/>
          <w:color w:val="000000"/>
        </w:rPr>
        <w:t>Q1.</w:t>
      </w:r>
      <w:r>
        <w:rPr>
          <w:rFonts w:ascii="Arial" w:cs="Arial" w:hAnsi="Arial"/>
          <w:color w:val="000000"/>
        </w:rPr>
        <w:tab/>
      </w:r>
      <w:r>
        <w:rPr>
          <w:rFonts w:ascii="Arial" w:cs="Arial" w:hAnsi="Arial"/>
          <w:color w:val="000000"/>
        </w:rPr>
        <w:t>Evaluate the extent to which the flat non-hierarchical structure was appropriate under Kirsten’s ownership and the extent to which the hierarchical bureaucratic structure is suitable under Chaffinch Group’s ownership.  (AC 1.1)</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color w:val="000000"/>
        </w:rPr>
        <w:t>Q2.</w:t>
      </w:r>
      <w:r>
        <w:rPr>
          <w:rFonts w:ascii="Arial" w:cs="Arial" w:hAnsi="Arial"/>
          <w:color w:val="000000"/>
        </w:rPr>
        <w:tab/>
      </w:r>
      <w:r>
        <w:rPr>
          <w:rFonts w:ascii="Arial" w:cs="Arial" w:hAnsi="Arial"/>
          <w:color w:val="000000"/>
        </w:rPr>
        <w:t>Analyse how Chaffinch Group could use a rational approach to strategy formulation to ensure that services provided meet customer needs. (AC 1.2)</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Q3.</w:t>
      </w:r>
      <w:r>
        <w:rPr>
          <w:rFonts w:ascii="Arial" w:cs="Arial" w:hAnsi="Arial"/>
          <w:color w:val="000000"/>
        </w:rPr>
        <w:tab/>
      </w:r>
      <w:r>
        <w:rPr>
          <w:rFonts w:ascii="Arial" w:cs="Arial" w:hAnsi="Arial"/>
          <w:color w:val="000000"/>
        </w:rPr>
        <w:t xml:space="preserve">Analyse </w:t>
      </w:r>
      <w:r>
        <w:rPr>
          <w:rFonts w:ascii="Arial" w:cs="Arial" w:hAnsi="Arial"/>
          <w:b/>
          <w:bCs/>
          <w:color w:val="000000"/>
        </w:rPr>
        <w:t>one</w:t>
      </w:r>
      <w:r>
        <w:rPr>
          <w:rFonts w:ascii="Arial" w:cs="Arial" w:hAnsi="Arial"/>
          <w:color w:val="000000"/>
        </w:rPr>
        <w:t xml:space="preserve"> external factor that is currently having a negative impact on the residential care industry and </w:t>
      </w:r>
      <w:r>
        <w:rPr>
          <w:rFonts w:ascii="Arial" w:cs="Arial" w:hAnsi="Arial"/>
          <w:b/>
          <w:bCs/>
          <w:color w:val="000000"/>
        </w:rPr>
        <w:t>one</w:t>
      </w:r>
      <w:r>
        <w:rPr>
          <w:rFonts w:ascii="Arial" w:cs="Arial" w:hAnsi="Arial"/>
          <w:color w:val="000000"/>
        </w:rPr>
        <w:t xml:space="preserve"> external factor that is currently having a positive impact on the residential care industry. (AC 1.3)</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b/>
          <w:bCs/>
          <w:color w:val="000000"/>
        </w:rPr>
      </w:pPr>
      <w:r>
        <w:rPr>
          <w:rFonts w:ascii="Arial" w:cs="Arial" w:hAnsi="Arial"/>
          <w:b/>
          <w:bCs/>
          <w:color w:val="000000"/>
        </w:rPr>
        <w:t>Q4.</w:t>
      </w:r>
      <w:r>
        <w:rPr>
          <w:rFonts w:ascii="Arial" w:cs="Arial" w:hAnsi="Arial"/>
          <w:color w:val="000000"/>
        </w:rPr>
        <w:tab/>
      </w:r>
      <w:r>
        <w:rPr>
          <w:rFonts w:ascii="Arial" w:cs="Arial" w:hAnsi="Arial"/>
          <w:color w:val="000000"/>
        </w:rPr>
        <w:t>Under Kirsten’s ownership of Calmere House, there was little investment in technology. Chaffinch Group want to change this approach and have decided to implement technology to deliver better patient care and employee experience. Assess how technology could be used by Chaffinch Group and how this would impact work at Calmere House. (AC 1.4)</w:t>
      </w:r>
    </w:p>
    <w:p>
      <w:pPr>
        <w:pStyle w:val="style0"/>
        <w:snapToGrid w:val="false"/>
        <w:spacing w:after="240" w:lineRule="auto" w:line="240"/>
        <w:ind w:left="851" w:hanging="567"/>
        <w:rPr>
          <w:rFonts w:ascii="Arial" w:cs="Arial" w:hAnsi="Arial"/>
          <w:b/>
          <w:bCs/>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Q5.</w:t>
      </w:r>
      <w:r>
        <w:rPr>
          <w:rFonts w:ascii="Arial" w:cs="Arial" w:hAnsi="Arial"/>
          <w:color w:val="000000"/>
        </w:rPr>
        <w:tab/>
      </w:r>
      <w:r>
        <w:rPr>
          <w:rFonts w:ascii="Arial" w:cs="Arial" w:hAnsi="Arial"/>
          <w:color w:val="000000"/>
        </w:rPr>
        <w:t>Using theories and models which examine organisational and human behaviour, explain why problems have arisen following the takeover of Calmere House by Chaffinch Group. (AC 2.1)</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Q6.</w:t>
      </w:r>
      <w:r>
        <w:rPr>
          <w:rFonts w:ascii="Arial" w:cs="Arial" w:hAnsi="Arial"/>
          <w:color w:val="000000"/>
        </w:rPr>
        <w:tab/>
      </w:r>
      <w:r>
        <w:rPr>
          <w:rFonts w:ascii="Arial" w:cs="Arial" w:hAnsi="Arial"/>
          <w:color w:val="000000"/>
        </w:rPr>
        <w:t>Assess how changes to selection and employee voice have impacted organisational culture and behaviours at Chaffinch Group. (AC 2.2)</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Q7.</w:t>
      </w:r>
      <w:r>
        <w:rPr>
          <w:rFonts w:ascii="Arial" w:cs="Arial" w:hAnsi="Arial"/>
          <w:color w:val="000000"/>
        </w:rPr>
        <w:tab/>
      </w:r>
      <w:r>
        <w:rPr>
          <w:rFonts w:ascii="Arial" w:cs="Arial" w:hAnsi="Arial"/>
          <w:color w:val="000000"/>
        </w:rPr>
        <w:t>Explain how Chaffinch Group could have better managed the change from a small owner-managed care home to Calmere House being part of a large organisation. (AC 2.3)</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Q8.</w:t>
      </w:r>
      <w:r>
        <w:rPr>
          <w:rFonts w:ascii="Arial" w:cs="Arial" w:hAnsi="Arial"/>
          <w:color w:val="000000"/>
        </w:rPr>
        <w:tab/>
      </w:r>
      <w:r>
        <w:rPr>
          <w:rFonts w:ascii="Arial" w:cs="Arial" w:hAnsi="Arial"/>
          <w:color w:val="000000"/>
        </w:rPr>
        <w:t xml:space="preserve">Explain the experience of change for the employees at Calmere House and examine how this is reflected through the stages of </w:t>
      </w:r>
      <w:r>
        <w:rPr>
          <w:rFonts w:ascii="Arial" w:cs="Arial" w:hAnsi="Arial"/>
          <w:b/>
          <w:bCs/>
          <w:color w:val="000000"/>
        </w:rPr>
        <w:t>one</w:t>
      </w:r>
      <w:r>
        <w:rPr>
          <w:rFonts w:ascii="Arial" w:cs="Arial" w:hAnsi="Arial"/>
          <w:color w:val="000000"/>
        </w:rPr>
        <w:t xml:space="preserve"> model. (AC 2.4)</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i/>
          <w:iCs/>
          <w:color w:val="000000"/>
        </w:rPr>
      </w:pPr>
      <w:r>
        <w:rPr>
          <w:rFonts w:ascii="Arial" w:cs="Arial" w:hAnsi="Arial"/>
          <w:b/>
          <w:bCs/>
          <w:color w:val="000000"/>
        </w:rPr>
        <w:t>Q9.</w:t>
      </w:r>
      <w:r>
        <w:rPr>
          <w:rFonts w:ascii="Arial" w:cs="Arial" w:hAnsi="Arial"/>
          <w:color w:val="000000"/>
        </w:rPr>
        <w:tab/>
      </w:r>
      <w:r>
        <w:rPr>
          <w:rFonts w:ascii="Arial" w:cs="Arial" w:hAnsi="Arial"/>
          <w:color w:val="000000"/>
        </w:rPr>
        <w:t xml:space="preserve">Assess </w:t>
      </w:r>
      <w:r>
        <w:rPr>
          <w:rFonts w:ascii="Arial" w:cs="Arial" w:hAnsi="Arial"/>
          <w:b/>
          <w:bCs/>
          <w:color w:val="000000"/>
        </w:rPr>
        <w:t>two</w:t>
      </w:r>
      <w:r>
        <w:rPr>
          <w:rFonts w:ascii="Arial" w:cs="Arial" w:hAnsi="Arial"/>
          <w:color w:val="000000"/>
        </w:rPr>
        <w:t xml:space="preserve"> factors that could impact employee wellbeing at Calmere House including why it is important that these factors are addressed. (AC 2.5)</w:t>
      </w:r>
      <w:r>
        <w:rPr>
          <w:rFonts w:ascii="Arial" w:cs="Arial" w:hAnsi="Arial"/>
          <w:i/>
          <w:iCs/>
          <w:color w:val="000000"/>
        </w:rPr>
        <w:t xml:space="preserve"> </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 xml:space="preserve">Q10. </w:t>
      </w:r>
      <w:r>
        <w:rPr>
          <w:rFonts w:ascii="Arial" w:cs="Arial" w:hAnsi="Arial"/>
          <w:color w:val="000000"/>
        </w:rPr>
        <w:t>Discuss how the people manager, recruitment advisor and employment relations case advisor could support the retention stage of the employee lifecycle. (AC 3.1)</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Q11.</w:t>
      </w:r>
      <w:r>
        <w:rPr>
          <w:rFonts w:ascii="Arial" w:cs="Arial" w:hAnsi="Arial"/>
          <w:color w:val="000000"/>
        </w:rPr>
        <w:t xml:space="preserve"> Analyse how people practices could help Chaffinch Group to fill 100% of resident rooms within six months. (AC 3.2)</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 xml:space="preserve">Q12. </w:t>
      </w:r>
      <w:r>
        <w:rPr>
          <w:rFonts w:ascii="Arial" w:cs="Arial" w:hAnsi="Arial"/>
          <w:color w:val="000000"/>
        </w:rPr>
        <w:t>Discuss how Kath could consult and engage with employees to understand why employee turnover at Calmere House has increased. (AC 3.3)</w:t>
      </w:r>
    </w:p>
    <w:p>
      <w:pPr>
        <w:pStyle w:val="style0"/>
        <w:spacing w:lineRule="auto" w:line="240"/>
        <w:rPr>
          <w:rFonts w:ascii="Trebuchet MS" w:cs="Arial" w:hAnsi="Trebuchet MS"/>
          <w:color w:val="000000"/>
        </w:rPr>
      </w:pPr>
      <w:r>
        <w:rPr>
          <w:rFonts w:ascii="Arial" w:cs="Arial" w:hAnsi="Arial"/>
          <w:color w:val="000000"/>
        </w:rPr>
        <w:t xml:space="preserve"> </w:t>
      </w:r>
      <w:bookmarkEnd w:id="10"/>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8"/>
      </w:tblGrid>
      <w:tr>
        <w:trPr>
          <w:trHeight w:val="435" w:hRule="atLeast"/>
        </w:trPr>
        <w:tc>
          <w:tcPr>
            <w:tcW w:w="10598" w:type="dxa"/>
            <w:tcBorders/>
          </w:tcPr>
          <w:p>
            <w:pPr>
              <w:pStyle w:val="style4102"/>
              <w:rPr>
                <w:rFonts w:cs="Arial"/>
                <w:szCs w:val="20"/>
              </w:rPr>
            </w:pPr>
            <w:r>
              <w:rPr>
                <w:rFonts w:cs="Arial"/>
                <w:szCs w:val="20"/>
              </w:rPr>
              <w:t>Your evidence must consist of</w:t>
            </w:r>
          </w:p>
        </w:tc>
      </w:tr>
      <w:tr>
        <w:tblPrEx/>
        <w:trPr>
          <w:trHeight w:val="1121" w:hRule="atLeast"/>
        </w:trPr>
        <w:tc>
          <w:tcPr>
            <w:tcW w:w="10598" w:type="dxa"/>
            <w:tcBorders/>
          </w:tcPr>
          <w:p>
            <w:pPr>
              <w:pStyle w:val="style4120"/>
              <w:autoSpaceDE/>
              <w:autoSpaceDN/>
              <w:adjustRightInd/>
              <w:spacing w:after="120" w:lineRule="auto" w:line="264"/>
              <w:ind w:left="360"/>
              <w:jc w:val="left"/>
              <w:rPr>
                <w:rFonts w:ascii="Arial" w:cs="Arial" w:hAnsi="Arial"/>
                <w:sz w:val="20"/>
                <w:szCs w:val="20"/>
                <w:lang w:eastAsia="en-GB"/>
              </w:rPr>
            </w:pPr>
          </w:p>
          <w:p>
            <w:pPr>
              <w:pStyle w:val="style4120"/>
              <w:numPr>
                <w:ilvl w:val="0"/>
                <w:numId w:val="45"/>
              </w:numPr>
              <w:autoSpaceDE/>
              <w:autoSpaceDN/>
              <w:adjustRightInd/>
              <w:spacing w:after="120" w:lineRule="auto" w:line="264"/>
              <w:jc w:val="left"/>
              <w:rPr>
                <w:rFonts w:ascii="Arial" w:cs="Arial" w:hAnsi="Arial"/>
                <w:sz w:val="20"/>
                <w:szCs w:val="20"/>
                <w:lang w:eastAsia="en-GB"/>
              </w:rPr>
            </w:pPr>
            <w:r>
              <w:rPr>
                <w:rFonts w:ascii="Arial" w:cs="Arial" w:hAnsi="Arial"/>
                <w:sz w:val="20"/>
                <w:szCs w:val="20"/>
                <w:lang w:eastAsia="en-GB"/>
              </w:rPr>
              <w:t>written answers to the assessment questions (approximately 4,550 words +/- 10%)</w:t>
            </w:r>
          </w:p>
        </w:tc>
      </w:tr>
      <w:bookmarkStart w:id="11" w:name="_Hlk71096114"/>
    </w:tbl>
    <w:p>
      <w:pPr>
        <w:pStyle w:val="style0"/>
        <w:ind w:left="142"/>
        <w:rPr>
          <w:rFonts w:ascii="Arial" w:cs="Arial" w:hAnsi="Arial"/>
          <w:b/>
          <w:i/>
          <w:iCs/>
          <w:color w:val="000000"/>
        </w:rPr>
      </w:pPr>
    </w:p>
    <w:p>
      <w:pPr>
        <w:pStyle w:val="style0"/>
        <w:rPr>
          <w:rFonts w:ascii="Arial" w:cs="Arial" w:hAnsi="Arial"/>
          <w:b/>
          <w:i/>
          <w:iCs/>
          <w:color w:val="000000"/>
        </w:rPr>
      </w:pPr>
      <w:r>
        <w:rPr>
          <w:rFonts w:ascii="Arial" w:cs="Arial" w:hAnsi="Arial"/>
          <w:b/>
          <w:i/>
          <w:iCs/>
          <w:color w:val="000000"/>
        </w:rPr>
        <w:br w:type="page"/>
      </w:r>
    </w:p>
    <w:bookmarkEnd w:id="11"/>
    <w:p>
      <w:pPr>
        <w:pStyle w:val="style0"/>
        <w:rPr>
          <w:rFonts w:ascii="Arial" w:cs="Arial" w:hAnsi="Arial"/>
          <w:color w:val="000000"/>
        </w:rPr>
      </w:pPr>
      <w:r>
        <w:rPr>
          <w:rFonts w:ascii="Arial" w:cs="Arial" w:hAnsi="Arial"/>
          <w:b/>
          <w:color w:val="000000"/>
        </w:rPr>
        <w:t>Q1.</w:t>
      </w:r>
      <w:r>
        <w:rPr>
          <w:rFonts w:ascii="Arial" w:cs="Arial" w:hAnsi="Arial"/>
          <w:color w:val="000000"/>
        </w:rPr>
        <w:tab/>
      </w:r>
      <w:r>
        <w:rPr>
          <w:rFonts w:ascii="Arial" w:cs="Arial" w:hAnsi="Arial"/>
          <w:color w:val="000000"/>
        </w:rPr>
        <w:t>Evaluate the extent to which the flat non-hierarchical structure was appropriate under Kirsten’s ownership and the extent to which the hierarchical bureaucratic structure is suitable under Chaffinch Group’s ownership</w:t>
      </w:r>
    </w:p>
    <w:p>
      <w:pPr>
        <w:pStyle w:val="style0"/>
        <w:rPr>
          <w:color w:val="000000"/>
        </w:rPr>
      </w:pPr>
      <w:r>
        <w:rPr>
          <w:color w:val="000000"/>
        </w:rPr>
        <w:t xml:space="preserve">The non-hierarchical structure, which was flat under the ownership of Kirsten, served Calmere House in an optimal manner as it aligned with her consultative management style (As per the case study). This involved open and clear interactions wherein 42 employees were reporting to her directly, establishing a sense of engagement and trust. For instance, regular staff meetings and one-to-one check-ins were being organized where updates about the progress regarding business goals were given by Kirsten and employees were asked for their opinions on how to best achieve these goals. As their opinions were being applied, employees were feeling empowered in strengthening teamwork and dedication towards each other and to the residents (Lindner, 2023). The motive for retaining so many employees was the feeling among the staff that they were considered one of the most significant people in the organization or that their co-workers were also part of the recruitment process and behaviors were also significant and that qualifications to the recruitment process were creating a point of feeling a shared responsibility. </w:t>
      </w:r>
    </w:p>
    <w:p>
      <w:pPr>
        <w:pStyle w:val="style0"/>
        <w:rPr>
          <w:color w:val="bf0000"/>
        </w:rPr>
      </w:pPr>
      <w:r>
        <w:rPr>
          <w:color w:val="000000"/>
        </w:rPr>
        <w:t xml:space="preserve">It was seen as beneficial also for the residents as there were no strict rules and that allowed approaching the residents in a personal manner (Thompson et al., 2022). It was also observed where permanent residents could choose the color and decoration of their individual rooms. Because Calmere House is owned by Chaffinch Group, a hierarchical bureaucratic structure is not as appropriate (as per the case study) for them. This type of organization would have been quite suitable for big organizations, needing uniformity and responsibility, but has proven itself to be a burden for a smaller home. The multiple reporting levels that exist now have the effect of driving a wedge between employees and decision-makers. </w:t>
      </w:r>
      <w:r>
        <w:rPr>
          <w:color w:val="bf0000"/>
        </w:rPr>
        <w:t>While the flat, non-hierarchical structure was largely effective under Kirsten’s ownership, it also had several limitations. One key challenge was the lack of formal management layers, with all 42 employees reporting directly to Kirsten. As the organisation grew, this structure increased dependency on a single decision-maker, creating potential bottlenecks in decision-making and limiting scalability. This over-reliance on Kirsten also posed a succession risk, as much of the organisation’s knowledge, relationships, and authority were centralised in one individual. In addition, the absence of formal policies and procedures, while supporting flexibility and personalised care, could lead to inconsistency in practice, reduced accountability, and difficulties in demonstrating regulatory compliance within the highly regulated care sector. Therefore, although the flat structure supported engagement and strong culture, it was less sustainable for long-term growth or ownership transition.</w:t>
      </w:r>
    </w:p>
    <w:p>
      <w:pPr>
        <w:pStyle w:val="style0"/>
        <w:rPr>
          <w:color w:val="000000"/>
        </w:rPr>
      </w:pPr>
      <w:r>
        <w:rPr>
          <w:color w:val="000000"/>
        </w:rPr>
        <w:t>For instance, it is the case of Kath where she has adopted the style of an autocrat. According to her, she likes to be informed and obeyed and does not listen to another and that imperils the working experiences in the past working in a cooperated environment.  Emails were also used to distribute policies and procedures without even consultation and the staff was also unhappy (Shelton et al., 2021). Greater dependence was also placed upon agency workers where dependence that could be a negative aspect where their suitability is not properly vetted outside of their qualifications which destroyed the unity and consistency of the care being given by teams. Nevertheless, the concept of the structure was to normalize the practices and make higher financial returns, which in this case has had a collapsing effect, reducing the employee engagement and satisfaction among residents to zero (Gao et al., 2023). It was removing the trust and personal touch which was previously found at Calmere House.</w:t>
      </w:r>
    </w:p>
    <w:p>
      <w:pPr>
        <w:pStyle w:val="style0"/>
        <w:rPr>
          <w:color w:val="000000"/>
        </w:rPr>
      </w:pPr>
      <w:r>
        <w:rPr>
          <w:color w:val="000000"/>
        </w:rPr>
        <w:br w:type="page"/>
      </w:r>
    </w:p>
    <w:p>
      <w:pPr>
        <w:pStyle w:val="style0"/>
        <w:snapToGrid w:val="false"/>
        <w:spacing w:after="240" w:lineRule="auto" w:line="240"/>
        <w:ind w:left="851" w:hanging="567"/>
        <w:rPr>
          <w:rFonts w:ascii="Arial" w:cs="Arial" w:hAnsi="Arial"/>
          <w:color w:val="000000"/>
        </w:rPr>
      </w:pPr>
      <w:r>
        <w:rPr>
          <w:rFonts w:ascii="Arial" w:cs="Arial" w:hAnsi="Arial"/>
          <w:b/>
          <w:color w:val="000000"/>
        </w:rPr>
        <w:t>Q2.</w:t>
      </w:r>
      <w:r>
        <w:rPr>
          <w:rFonts w:ascii="Arial" w:cs="Arial" w:hAnsi="Arial"/>
          <w:color w:val="000000"/>
        </w:rPr>
        <w:tab/>
      </w:r>
      <w:r>
        <w:rPr>
          <w:rFonts w:ascii="Arial" w:cs="Arial" w:hAnsi="Arial"/>
          <w:color w:val="000000"/>
        </w:rPr>
        <w:t>Analyse how Chaffinch Group could use a rational approach to strategy formulation to ensure that services provided meet customer needs. (AC 1.2)</w:t>
      </w:r>
    </w:p>
    <w:p>
      <w:pPr>
        <w:pStyle w:val="style0"/>
        <w:rPr>
          <w:color w:val="000000"/>
        </w:rPr>
      </w:pPr>
      <w:r>
        <w:rPr>
          <w:color w:val="000000"/>
        </w:rPr>
        <w:t>The Chaffinch Group might explore a rational strategy formulation process, utilizing the methodical analysis and planning of Calmere House systematic analysing and planning to better align their services with the needs of residents (Diehl et al. 2024). The first step would be to examine the current situation and discover why the satisfaction level and occupancy has diminished, and find out the feedback from both the residents and staff working there. By way of example, personnel have been complaining about the rooms being renovated, yet there were no differentiations made, and no choice of decor or colors (according to the case study). Conducting feedback analysis will provide Chaffinch Group with awareness of the degree to which standardised corporate processes have been initiated and what residents expected when receiving care.</w:t>
      </w:r>
    </w:p>
    <w:p>
      <w:pPr>
        <w:pStyle w:val="style0"/>
        <w:rPr>
          <w:color w:val="000000"/>
        </w:rPr>
      </w:pPr>
      <w:r>
        <w:rPr>
          <w:color w:val="000000"/>
        </w:rPr>
        <w:t xml:space="preserve">Once the analysis has taken place, goal setting could be established in the context of restoring the reputation of Calmere House as a home for high quality and person-centred care, (Guan et al., 2025). This could involve setting measurable objectives, such as increased resident satisfaction levels or turnover. Devising strategies will then follow, for example restoring choice in personalising rooms, or improving communication channels between management and staff (Cashin, 2025). Such an analysis would lead to the identification of the most cost-effective and sustainable solution and trade-off between costs and quality of care. This would involve open communication and collaboration with the staff. One of such areas involves the fact that employees can re-engage through meetings similar to the one presented to Kirsten as a leadership in order to ensure that their skills are applied in decision making (Riello, 2020). This would be useful for building confidence and reliance on agency employees, who compromise continuity of care at the moment. Assessing the progress will be required not only to check whether the objectives are achieved, but also to inspect the occupancy rates, employee turnover and customer reception. </w:t>
      </w:r>
    </w:p>
    <w:p>
      <w:pPr>
        <w:pStyle w:val="style0"/>
        <w:rPr>
          <w:color w:val="bf0000"/>
        </w:rPr>
      </w:pPr>
      <w:r>
        <w:rPr>
          <w:color w:val="bf0000"/>
          <w:lang w:val="en-US"/>
        </w:rPr>
        <w:t>For example, using data from resident feedback and employee turnover could help identify gaps between standardised services and the personalised care expected by customers. This approach supports consistency, financial control, and clearer alignment with organisational goals. However, a limitation of the rational approach is that it can be overly linear and insufficiently responsive to the emotional and cultural aspects of care delivery. In the context of Calmere House, a heavy reliance on data and top-down planning risks overlooking employee and resident values that were central to the home’s previous success. If applied rigidly, the approach may reinforce standardisation at the expense of individual choice, further reducing resident satisfaction. Therefore, while a rational strategy can improve service alignment and performance monitoring, it must be balanced with employee consultation and resident involvement to ensure customer needs are genuinely met.</w:t>
      </w:r>
    </w:p>
    <w:p>
      <w:pPr>
        <w:pStyle w:val="style0"/>
        <w:rPr>
          <w:color w:val="000000"/>
        </w:rPr>
      </w:pPr>
      <w:r>
        <w:rPr>
          <w:color w:val="000000"/>
        </w:rPr>
        <w:t>Not only will a systematic, rational, evidence-based approach to the strategy enable the group to see where services have lost contact with the customers to the degree that the systematic roadmap can be planned (Hong et al. 2025). The aim is to regain the achievements that Calmere House was so successful with, thus gaining long-term sustainability through meeting customer expectation.</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Q3.</w:t>
      </w:r>
      <w:r>
        <w:rPr>
          <w:rFonts w:ascii="Arial" w:cs="Arial" w:hAnsi="Arial"/>
          <w:color w:val="000000"/>
        </w:rPr>
        <w:tab/>
      </w:r>
      <w:r>
        <w:rPr>
          <w:rFonts w:ascii="Arial" w:cs="Arial" w:hAnsi="Arial"/>
          <w:color w:val="000000"/>
        </w:rPr>
        <w:t xml:space="preserve">Analyse </w:t>
      </w:r>
      <w:r>
        <w:rPr>
          <w:rFonts w:ascii="Arial" w:cs="Arial" w:hAnsi="Arial"/>
          <w:b/>
          <w:bCs/>
          <w:color w:val="000000"/>
        </w:rPr>
        <w:t>one</w:t>
      </w:r>
      <w:r>
        <w:rPr>
          <w:rFonts w:ascii="Arial" w:cs="Arial" w:hAnsi="Arial"/>
          <w:color w:val="000000"/>
        </w:rPr>
        <w:t xml:space="preserve"> external factor that is currently having a negative impact on the residential care industry and </w:t>
      </w:r>
      <w:r>
        <w:rPr>
          <w:rFonts w:ascii="Arial" w:cs="Arial" w:hAnsi="Arial"/>
          <w:b/>
          <w:bCs/>
          <w:color w:val="000000"/>
        </w:rPr>
        <w:t>one</w:t>
      </w:r>
      <w:r>
        <w:rPr>
          <w:rFonts w:ascii="Arial" w:cs="Arial" w:hAnsi="Arial"/>
          <w:color w:val="000000"/>
        </w:rPr>
        <w:t xml:space="preserve"> external factor that is currently having a positive impact on the residential care industry. (AC 1.3)</w:t>
      </w:r>
    </w:p>
    <w:p>
      <w:pPr>
        <w:pStyle w:val="style0"/>
        <w:rPr>
          <w:color w:val="000000"/>
        </w:rPr>
      </w:pPr>
      <w:r>
        <w:rPr>
          <w:color w:val="000000"/>
        </w:rPr>
        <w:t>Utility and staff costs are one social pressure affecting the residential care sector (Snow, 2025). Kirsten in the case study expressed concern with the assumption that rising utility costs and staff costs would compromise the care provided to residents at Calmere House. This is part of a wider industry context where care homes are being financially squeezed, amid inflation pressures to provide competitive wages to keep valued employees, and high expectations among family members. For example, after acquiring the home, Chaffinch Group were concerned with getting a payback on their investment but also the increased operating costs (According to the Case Study). These increased costs made it more difficult to provide individualised care, for example by offering residents the chance to choose their own decoration, which had been an area of specialty for Kirsten in management (Yuen et al., 2024). The result is that it contributes to peoples' sense of being less than valued, leading to frustration among the employees who were working harder, although not their fault, to address the increasing staffing shortage. Increased costs have an immediate impact on profitability, but on the care homes' ability to provide high quality, individualised care.</w:t>
      </w:r>
    </w:p>
    <w:p>
      <w:pPr>
        <w:pStyle w:val="style0"/>
        <w:rPr>
          <w:color w:val="000000"/>
        </w:rPr>
      </w:pPr>
      <w:r>
        <w:rPr>
          <w:color w:val="000000"/>
        </w:rPr>
        <w:t xml:space="preserve">Conversely, the growing demand for residential and respite care resulting from an aging population and increased life expectancy is a positive external industry factor (Snow et al. 2024). Kirsten, the previous owner of the home in the case study, benefited from this demand because she was able to maintain good occupancy, and a waiting list, </w:t>
      </w:r>
      <w:r>
        <w:rPr>
          <w:color w:val="000000"/>
        </w:rPr>
        <w:t>in Calmere House. Increased demand for long-term care provides opportunities for providers of services to build and be able to attract more residents to the facility, if they can deliver as required (Sylla et al. 2025). For instance, where Chaffinch Group invested in room renovations, these projects quickly became attractive to residents, promising enhanced amenities and housing conditions (per Case Study). These investments were not executed well at Calmere House, but when combined with the original person-centred approach of the house, the combination would provide a balanced solution to the increasing need of residential care. Due to the rising number of the ageing population, campaigns like the modernisation of the facilities and provision of better services can bring in additional residents and retain them as they had been before due to the personalised attention the home has offered. Such investments when done in a strategic manner do not only cater to the needs of the demographics, but also boost the reputation, occupancy rates and financial performance of the organisation (Mensah et al., 2024). Hence, they are a viable possibility of growth and sustenance at a longer term within the broader residential care sector.</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Q4.</w:t>
      </w:r>
      <w:r>
        <w:rPr>
          <w:rFonts w:ascii="Arial" w:cs="Arial" w:hAnsi="Arial"/>
          <w:color w:val="000000"/>
        </w:rPr>
        <w:tab/>
      </w:r>
      <w:r>
        <w:rPr>
          <w:rFonts w:ascii="Arial" w:cs="Arial" w:hAnsi="Arial"/>
          <w:color w:val="000000"/>
        </w:rPr>
        <w:t>Under Kirsten’s ownership of Calmere House, there was little investment in technology. Chaffinch Group want to change this approach and have decided to implement technology to deliver better patient care and employee experience. Assess how technology could be used by Chaffinch Group and how this would impact work at Calmere House. (AC 1.4)</w:t>
      </w:r>
    </w:p>
    <w:p>
      <w:pPr>
        <w:pStyle w:val="style0"/>
        <w:rPr>
          <w:color w:val="000000"/>
        </w:rPr>
      </w:pPr>
      <w:r>
        <w:rPr>
          <w:color w:val="000000"/>
        </w:rPr>
        <w:t>According to the Case Study, Chaffinch Group may be able to improve employee satisfaction and patient care at Calmere House by utilizing technology. There were little technological investments and largely informal procedures when Kirsten was the company's owner. This limited opportunities to modernize service delivery, but it may have served to preserve a family-like atmosphere. Chaffinch Group may also make sure that resident records, medication schedules, and care plans are easily accessible and updated on a regular basis by utilizing digital care management systems. One of these is the use of computerized care records, which would enable staff members to record changes with greater accuracy (Acheampong et al. 2025).</w:t>
      </w:r>
    </w:p>
    <w:p>
      <w:pPr>
        <w:pStyle w:val="style0"/>
        <w:rPr>
          <w:color w:val="000000"/>
        </w:rPr>
      </w:pPr>
      <w:r>
        <w:rPr>
          <w:color w:val="000000"/>
        </w:rPr>
        <w:t>The use of electronic care records has enhanced the quality and speed of information sharing regarding the health of residents during the shift change that before was done verbally. This electronic system would guarantee that information regarding medicine, treatment, and health status is updated on the real time and are easily accessible to all the personnel. It consequently minimizes chances of error, improves reliability of care provision and reinforces the coordination of team members. Significant to note, it also aids in reassuring residents and families that their care will still be stable, reliable and responsive despite the broader organizational developments that will occur in Calmere House (Okyere Boadu et al., 2024).</w:t>
      </w:r>
    </w:p>
    <w:p>
      <w:pPr>
        <w:pStyle w:val="style0"/>
        <w:rPr>
          <w:color w:val="000000"/>
        </w:rPr>
      </w:pPr>
      <w:r>
        <w:rPr>
          <w:color w:val="000000"/>
        </w:rPr>
        <w:t xml:space="preserve"> Additionally, technology can help workers by facilitating better communication and less administrative work.  Due to the impersonal and email-based nature of communication, employees now feel alienated.  An organized communication system would be a preferable option where employees could express themselves, participatory improvements could be made, and a sense of belonging could be restored. Online scheduling software may also be helpful in better organizing work around responsibilities and reducing the stress that comes with having to fill in the gaps and put in extra time (Mensah, 2024). According to the Case Study, in one instance where agency workers were involved, rotas were computerized and examined ahead of time, permanent personnel would have accomplished a significant portion of the job, and the staff would have been satisfied with work-life balance.  The locals believe that greater technology could replace the personalization that was lost to the Group's ownership. Simple solutions, such as using internet services to select decorations or express specific requests, could bring back the individualized touch that made Calmere House special in the past (Kissi </w:t>
      </w:r>
      <w:r>
        <w:rPr>
          <w:i/>
          <w:iCs/>
          <w:color w:val="000000"/>
        </w:rPr>
        <w:t xml:space="preserve">et al. </w:t>
      </w:r>
      <w:r>
        <w:rPr>
          <w:color w:val="000000"/>
        </w:rPr>
        <w:t xml:space="preserve">2024). By combining modern equipment with the personal care philosophy that had made the home so successful in the first place, </w:t>
      </w:r>
      <w:r>
        <w:rPr>
          <w:color w:val="000000"/>
        </w:rPr>
        <w:t>intelligently deployed technology would not only help to resolve the operational inefficiencies but also foster trust among staff and residents.</w:t>
      </w:r>
    </w:p>
    <w:p>
      <w:pPr>
        <w:pStyle w:val="style0"/>
        <w:snapToGrid w:val="false"/>
        <w:spacing w:after="240" w:lineRule="auto" w:line="240"/>
        <w:ind w:left="851" w:hanging="567"/>
        <w:rPr>
          <w:rFonts w:ascii="Arial" w:cs="Arial" w:hAnsi="Arial"/>
          <w:b/>
          <w:bCs/>
          <w:color w:val="000000"/>
        </w:rPr>
      </w:pPr>
    </w:p>
    <w:p>
      <w:pPr>
        <w:pStyle w:val="style0"/>
        <w:snapToGrid w:val="false"/>
        <w:spacing w:after="240" w:lineRule="auto" w:line="240"/>
        <w:ind w:left="851" w:hanging="567"/>
        <w:rPr>
          <w:rFonts w:ascii="Arial" w:cs="Arial" w:hAnsi="Arial"/>
          <w:b/>
          <w:bCs/>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Q5.</w:t>
      </w:r>
      <w:r>
        <w:rPr>
          <w:rFonts w:ascii="Arial" w:cs="Arial" w:hAnsi="Arial"/>
          <w:color w:val="000000"/>
        </w:rPr>
        <w:tab/>
      </w:r>
      <w:r>
        <w:rPr>
          <w:rFonts w:ascii="Arial" w:cs="Arial" w:hAnsi="Arial"/>
          <w:color w:val="000000"/>
        </w:rPr>
        <w:t>Using theories and models which examine organisational and human behaviour, explain why problems have arisen following the takeover of Calmere House by Chaffinch Group. (AC 2.1)</w:t>
      </w:r>
    </w:p>
    <w:p>
      <w:pPr>
        <w:pStyle w:val="style0"/>
        <w:rPr>
          <w:color w:val="000000"/>
        </w:rPr>
      </w:pPr>
      <w:r>
        <w:rPr>
          <w:color w:val="000000"/>
        </w:rPr>
        <w:t xml:space="preserve">After Calmere House was acquired by Chaffinch Group, problems arose because the organizational and interpersonal links that had benefited the business under Kirsten were disrupted. The Lewin Change Management model provides an explanation for this (Mwogosi and Aslami, 2025). Since the second stage of change is called unfreeze, when people are ready to change via sharing common values, Kirsten's ability to empower the staff through consultation and involvement makes sense in this situation. However, Chaffinch Group failed to handle this change since they immediately implemented new procedures and guidelines without first consulting staff. Employee resistance resulted from feeling excluded and uncertain about the future (McKearney et al. 2023One instance is when new policies were communicated to staff members via email rather than in person, which decreased involvement and trust. </w:t>
      </w:r>
      <w:r>
        <w:rPr>
          <w:color w:val="000000"/>
        </w:rPr>
        <w:br/>
      </w:r>
      <w:r>
        <w:rPr>
          <w:color w:val="000000"/>
        </w:rPr>
        <w:t>McGregor's Theory Y and Theory X also discuss the change in management's presumptions (Harrison et al., 2021). During the guidance of Kirsten, the employees were treated as per the Theory Y by McGregor which presupposes that individuals are already motivated, held accountable and able to bring innovative ideas. This participative nature promoted openness, autonomy and trust that led to a great job satisfaction, commitment and retention. Employees also experienced a sense of ownership and empowerment to make decisions and take ownership of their duties which improved the teamwork and performance in general. But when Kath assumed the management the management style changed to Theory X where employees were regarded as requiring the close supervision and control. Such an authoritarian and top-down approach killed initiative and curtailed employee voice. Subsequently, employee morale went down, motivation went down and several employees exited the firm as they lost trust and interest in the process of making decisions.</w:t>
      </w:r>
    </w:p>
    <w:p>
      <w:pPr>
        <w:pStyle w:val="style0"/>
        <w:rPr>
          <w:color w:val="000000"/>
        </w:rPr>
      </w:pPr>
      <w:r>
        <w:rPr>
          <w:color w:val="000000"/>
        </w:rPr>
        <w:t>Herzberg's Two Factor Theory aids in comprehension. Under Kirsten, recognition, accountability, and involvement were among the powerful motivators that were absent during the takeover (Harrison, 2021). Workload and job security were also negatively impacted by hygiene factors, and when agency workers who had not effectively integrated were hired, the staff had to fill in the gaps. According to Thompson et al. (2022), residents lost faith in the treatment they received as a result of this lack of motivation and unfavorable work environment, which also directly led to discontent, absentees, and higher turnover.</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p>
    <w:p>
      <w:pPr>
        <w:pStyle w:val="style0"/>
        <w:rPr>
          <w:rFonts w:ascii="Arial" w:cs="Arial" w:hAnsi="Arial"/>
          <w:b/>
          <w:bCs/>
          <w:color w:val="000000"/>
        </w:rPr>
      </w:pPr>
      <w:r>
        <w:rPr>
          <w:rFonts w:ascii="Arial" w:cs="Arial" w:hAnsi="Arial"/>
          <w:b/>
          <w:bCs/>
          <w:color w:val="000000"/>
        </w:rPr>
        <w:br w:type="page"/>
      </w:r>
    </w:p>
    <w:p>
      <w:pPr>
        <w:pStyle w:val="style0"/>
        <w:snapToGrid w:val="false"/>
        <w:spacing w:after="240" w:lineRule="auto" w:line="240"/>
        <w:ind w:left="851" w:hanging="567"/>
        <w:rPr>
          <w:rFonts w:ascii="Arial" w:cs="Arial" w:hAnsi="Arial"/>
          <w:color w:val="000000"/>
        </w:rPr>
      </w:pPr>
      <w:r>
        <w:rPr>
          <w:rFonts w:ascii="Arial" w:cs="Arial" w:hAnsi="Arial"/>
          <w:b/>
          <w:bCs/>
          <w:color w:val="000000"/>
        </w:rPr>
        <w:t>Q6.</w:t>
      </w:r>
      <w:r>
        <w:rPr>
          <w:rFonts w:ascii="Arial" w:cs="Arial" w:hAnsi="Arial"/>
          <w:color w:val="000000"/>
        </w:rPr>
        <w:tab/>
      </w:r>
      <w:r>
        <w:rPr>
          <w:rFonts w:ascii="Arial" w:cs="Arial" w:hAnsi="Arial"/>
          <w:color w:val="000000"/>
        </w:rPr>
        <w:t>Assess how changes to selection and employee voice have impacted organisational culture and behaviours at Chaffinch Group. (AC 2.2)</w:t>
      </w:r>
    </w:p>
    <w:p>
      <w:pPr>
        <w:pStyle w:val="style0"/>
        <w:rPr>
          <w:color w:val="000000"/>
        </w:rPr>
      </w:pPr>
      <w:r>
        <w:rPr>
          <w:color w:val="000000"/>
        </w:rPr>
        <w:t>The changes that the Chaffinch Group has made towards employee input and employee selection of the people at Calmere House have negatively influenced the organizational culture and behaviors according to the Case Study. During the Kirsten tenure, employees contributed greatly to the recruitment process so that new recruits can share similar values and behaviors that can promote a caring and cooperative workplace besides possessing the required qualifications. This kind of engagement improved the culture of care home family, their community spirit, and the feeling of involvement (Shelton, 2021). The agency employees were only evaluated after the takeover according to qualifications and experience (Azevedo et al. 2021). By refusing to actively evaluate the applicants in addition to basic qualifications, Chaffinch Group recruited staff mismatched with the Calmere House traditions of teamwork and caring attitude. This lack of fit destroyed the unity that was formerly characteristic of the organisation during Kirsten as its leader. The lack of common values or not knowing each other brought about decreased collaborative effort and therefore, communication gap and low morale among the staff. Thus, the care of residents was negatively affected, and the personal and constant focus, previously accumulating trust and satisfaction, was substituted with sporadic collaboration among the staff, as well as the emotional relationship between the employees, the residents, and the overall purpose of the organisation.</w:t>
      </w:r>
    </w:p>
    <w:p>
      <w:pPr>
        <w:pStyle w:val="style0"/>
        <w:snapToGrid w:val="false"/>
        <w:spacing w:after="240" w:lineRule="auto" w:line="240"/>
        <w:ind w:left="284"/>
        <w:rPr>
          <w:rFonts w:ascii="Arial" w:cs="Arial" w:hAnsi="Arial"/>
          <w:color w:val="000000"/>
        </w:rPr>
      </w:pPr>
      <w:r>
        <w:rPr>
          <w:color w:val="000000"/>
        </w:rPr>
        <w:t xml:space="preserve">There was a tremendous shift in the employee voice (Walsh-Bailey et al. 2021). Instead, open communication was encouraged by Kirsten because they frequently gathered and came up with decisions including the input of the staff and by making personal check-ins in which a culture of trust and inclusivity was achieved (Guerin, 2021). Conversely, under Kath's autocratic leadership, employees were not consulted; instead, policies were communicated to them by email in an impersonal manner. </w:t>
      </w:r>
      <w:r>
        <w:rPr>
          <w:i/>
          <w:iCs/>
          <w:color w:val="000000"/>
        </w:rPr>
        <w:t xml:space="preserve">For instance, </w:t>
      </w:r>
      <w:r>
        <w:rPr>
          <w:color w:val="000000"/>
        </w:rPr>
        <w:t>when workers questioned Kath, she disregarded their concerns, claiming to know what Chaffinch wanted, which further discouraged workers (as per the Case Study). Lack of a voice made workers feel irrelevant, disengaged, and undervalued, which increased absenteeism, turnover, and commitment. Employee happiness and care quality have suffered as a direct result of this chosen process and voice shift, which has created a collaborative, person-centered, bureaucratic, and transactional culture (Stanz, 2022).</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Q7.</w:t>
      </w:r>
      <w:r>
        <w:rPr>
          <w:rFonts w:ascii="Arial" w:cs="Arial" w:hAnsi="Arial"/>
          <w:color w:val="000000"/>
        </w:rPr>
        <w:tab/>
      </w:r>
      <w:r>
        <w:rPr>
          <w:rFonts w:ascii="Arial" w:cs="Arial" w:hAnsi="Arial"/>
          <w:color w:val="000000"/>
        </w:rPr>
        <w:t>Explain how Chaffinch Group could have better managed the change from a small owner-managed care home to Calmere House being part of a large organisation. (AC 2.3)</w:t>
      </w:r>
    </w:p>
    <w:p>
      <w:pPr>
        <w:pStyle w:val="style0"/>
        <w:rPr>
          <w:color w:val="000000"/>
        </w:rPr>
      </w:pPr>
      <w:r>
        <w:rPr>
          <w:color w:val="000000"/>
        </w:rPr>
        <w:t xml:space="preserve">Chaffinch Group might have handled the transition to a huge organization much better by putting in place a systematic change management strategy that considered culture and communication (Okyere Boadu et al., 2024).  They would have begun by instilling a feeling of urgency about the necessity of modernization and investment, as well as forming a steering coalition that would include Kirsten and have some faith in staff members to spearhead the transformation.  Instead of using policies, Chaffinch could have communicated a clear vision via email that struck a balance between corporate standards and the personalized culture that the residents and staff valued. </w:t>
      </w:r>
    </w:p>
    <w:p>
      <w:pPr>
        <w:pStyle w:val="style0"/>
        <w:snapToGrid w:val="false"/>
        <w:spacing w:after="240" w:lineRule="auto" w:line="240"/>
        <w:ind w:left="284"/>
        <w:rPr>
          <w:rFonts w:ascii="Arial" w:cs="Arial" w:hAnsi="Arial"/>
          <w:color w:val="000000"/>
        </w:rPr>
      </w:pPr>
      <w:r>
        <w:rPr>
          <w:color w:val="000000"/>
        </w:rPr>
        <w:t xml:space="preserve">Slowing down policy implementation and showcasing how it would improve the experience for staff and residents are examples of hypothetical initiatives.  Using the remodeling of the room as an example, they would have interviewed the occupants and given them the option to select the decor in order to make it unique and personal (Adeleke, 2025).  In a similar vein, involving staff members in the creation of new procedures would have respected their professionalism and maintained morale.  Additionally, training sessions and open forums would have reassured the employees about their future roles, reducing their anxiety and likelihood of quitting. By sufficiently releasing the current culture when implementing the reforms, Chaffinch might have more appropriately adapted Kurt Lewin's Change Management Model to the circumstances (Mensah, 2024).  This would have required carefully introducing new structures after attributing incentive to Kirsten's approach's strengths, such as excellent engagement and retention.  By enhancing the positive aspects, such as greater job security through investments in the Group, workers and citizens would have been </w:t>
      </w:r>
      <w:r>
        <w:rPr>
          <w:color w:val="000000"/>
        </w:rPr>
        <w:t>more receptive to the change (Sylla et al. 2025).  It would have led to a simpler integration and sustained performance.</w:t>
      </w:r>
    </w:p>
    <w:p>
      <w:pPr>
        <w:pStyle w:val="style0"/>
        <w:snapToGrid w:val="false"/>
        <w:spacing w:after="240" w:lineRule="auto" w:line="240"/>
        <w:ind w:left="284"/>
        <w:rPr>
          <w:rFonts w:ascii="Arial" w:cs="Arial" w:hAnsi="Arial"/>
          <w:color w:val="bf0000"/>
        </w:rPr>
      </w:pPr>
      <w:r>
        <w:rPr>
          <w:rFonts w:ascii="Arial" w:cs="Arial" w:hAnsi="Arial"/>
          <w:color w:val="bf0000"/>
          <w:lang w:val="en-US"/>
        </w:rPr>
        <w:t>The vision should then have been communicated consistently through face-to-face meetings rather than emails alone, addressing step four. In step five, employees should have been empowered to contribute to change, such as influencing care practices and room refurbishments. Short-term wins, such as improved facilities while retaining resident choice, could have reinforced positive momentum. Steps seven and eight would involve consolidating improvements and embedding new practices into the culture without losing the values that previously supported high engagement and retention. Applying Kotter’s model in this way would have reduced resistance, improved buy-in, and supported a smoother cultural integration.</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Q8.</w:t>
      </w:r>
      <w:r>
        <w:rPr>
          <w:rFonts w:ascii="Arial" w:cs="Arial" w:hAnsi="Arial"/>
          <w:color w:val="000000"/>
        </w:rPr>
        <w:tab/>
      </w:r>
      <w:r>
        <w:rPr>
          <w:rFonts w:ascii="Arial" w:cs="Arial" w:hAnsi="Arial"/>
          <w:color w:val="000000"/>
        </w:rPr>
        <w:t xml:space="preserve">Explain the experience of change for the employees at Calmere House and examine how this is reflected through the stages of </w:t>
      </w:r>
      <w:r>
        <w:rPr>
          <w:rFonts w:ascii="Arial" w:cs="Arial" w:hAnsi="Arial"/>
          <w:b/>
          <w:bCs/>
          <w:color w:val="000000"/>
        </w:rPr>
        <w:t>one</w:t>
      </w:r>
      <w:r>
        <w:rPr>
          <w:rFonts w:ascii="Arial" w:cs="Arial" w:hAnsi="Arial"/>
          <w:color w:val="000000"/>
        </w:rPr>
        <w:t xml:space="preserve"> model. (AC 2.4)</w:t>
      </w:r>
    </w:p>
    <w:p>
      <w:pPr>
        <w:pStyle w:val="style0"/>
        <w:rPr>
          <w:color w:val="000000"/>
        </w:rPr>
      </w:pPr>
      <w:r>
        <w:rPr>
          <w:color w:val="000000"/>
        </w:rPr>
        <w:t xml:space="preserve">The idea of Kubler Ross's Change Curve model can also be used to describe the transfer of Calmere House when Kirsten sold it to Chaffinch Group. Riello (2023) report that workers perceived that they were disempowered by their move with a sense of disruption. Since Kirsten had kept the house in great zeal and commitment, the staff could not realize that she was selling the house at the first stage of shock and denial. They experienced that the culture of open communication and personal care within which they got accustomed to work under could not be adapted to sales. As Chaffinch suggested a hierarchical structure given Kath's authoritarian management style, this quickly devolved into rage and frustration (as per the Case Study). For instance, when employees questioned decisions, Kath ignored them by claiming to know what Chaffinch intended. This reinforced the feelings of undervaluation. </w:t>
      </w:r>
      <w:r>
        <w:rPr>
          <w:color w:val="000000"/>
        </w:rPr>
        <w:br/>
      </w:r>
      <w:r>
        <w:rPr>
          <w:color w:val="000000"/>
        </w:rPr>
        <w:t>As the shift proceeded, the number of employees experiencing sadness rose, and morale and motivation sharply declined. When they saw that their coworkers were quitting, their workload was growing, and new agency employees were being hired without being evaluated, the employees became disinterested. Team spirit suffered as a result, and sick leave rose (Acheampong et al. 2025). Others were stuck in this stage and had no idea what was going to happen. However, when they adjusted to the new procedures and attempted to function inside the Chaffinch systems, including conforming to standardized policies, a small group began to shift toward acceptance and experimentation. Overall, nonetheless, employees found it difficult to transition to full commitment due to a lack of acknowledgment and consultation (Mensah et al., 2024). The staff members' process demonstrates the phases of the Change Curve since there was resistance brought on by inadequate management of the change, a lack of involvement, and consequently high turnover.</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i/>
          <w:iCs/>
          <w:color w:val="000000"/>
        </w:rPr>
      </w:pPr>
      <w:r>
        <w:rPr>
          <w:rFonts w:ascii="Arial" w:cs="Arial" w:hAnsi="Arial"/>
          <w:b/>
          <w:bCs/>
          <w:color w:val="000000"/>
        </w:rPr>
        <w:t>Q9.</w:t>
      </w:r>
      <w:r>
        <w:rPr>
          <w:rFonts w:ascii="Arial" w:cs="Arial" w:hAnsi="Arial"/>
          <w:color w:val="000000"/>
        </w:rPr>
        <w:tab/>
      </w:r>
      <w:r>
        <w:rPr>
          <w:rFonts w:ascii="Arial" w:cs="Arial" w:hAnsi="Arial"/>
          <w:color w:val="000000"/>
        </w:rPr>
        <w:t xml:space="preserve">Assess </w:t>
      </w:r>
      <w:r>
        <w:rPr>
          <w:rFonts w:ascii="Arial" w:cs="Arial" w:hAnsi="Arial"/>
          <w:b/>
          <w:bCs/>
          <w:color w:val="000000"/>
        </w:rPr>
        <w:t>two</w:t>
      </w:r>
      <w:r>
        <w:rPr>
          <w:rFonts w:ascii="Arial" w:cs="Arial" w:hAnsi="Arial"/>
          <w:color w:val="000000"/>
        </w:rPr>
        <w:t xml:space="preserve"> factors that could impact employee wellbeing at Calmere House including why it is important that these factors are addressed. (AC 2.5)</w:t>
      </w:r>
      <w:r>
        <w:rPr>
          <w:rFonts w:ascii="Arial" w:cs="Arial" w:hAnsi="Arial"/>
          <w:i/>
          <w:iCs/>
          <w:color w:val="000000"/>
        </w:rPr>
        <w:t xml:space="preserve"> </w:t>
      </w:r>
    </w:p>
    <w:p>
      <w:pPr>
        <w:pStyle w:val="style0"/>
        <w:rPr>
          <w:color w:val="000000"/>
        </w:rPr>
      </w:pPr>
      <w:r>
        <w:rPr>
          <w:b/>
          <w:bCs/>
          <w:i/>
          <w:iCs/>
          <w:color w:val="000000"/>
        </w:rPr>
        <w:t xml:space="preserve">Workload </w:t>
      </w:r>
      <w:r>
        <w:rPr>
          <w:color w:val="000000"/>
        </w:rPr>
        <w:t>may be one of the contributing factors which can significantly affect staff wellbeing at Calmere House. Following the takeover of Chaffinch Group, sickness absence, and turnover followed by employees covering the gaps (Mwogosi and Aslami, 2025). To mitigate the impact of covering absence on residents, staff worked additional hours leading to stress and fatigue. For instance, with the loss of old colleagues, agency workers were brought in that weren't aware of residents and the culture, this means permanent staff have been under greater pressure to maintain standards of care. The problem of excessive workloads is unlikely to be addressed until it leads to burnout and turnover, which, if not resolved, will exacerbate well-being and quality of the services provided (Snow, 2025). This issue needs to be addressed by planning workforce better, especially in terms of agency staff, so that the situation can be redressed and workloads alleviated.</w:t>
      </w:r>
    </w:p>
    <w:p>
      <w:pPr>
        <w:pStyle w:val="style0"/>
        <w:snapToGrid w:val="false"/>
        <w:spacing w:after="240" w:lineRule="auto" w:line="240"/>
        <w:ind w:left="284"/>
        <w:rPr>
          <w:rFonts w:ascii="Arial" w:cs="Arial" w:hAnsi="Arial"/>
          <w:i/>
          <w:iCs/>
          <w:color w:val="000000"/>
        </w:rPr>
      </w:pPr>
      <w:r>
        <w:rPr>
          <w:color w:val="000000"/>
        </w:rPr>
        <w:t xml:space="preserve">Second is the loss of employee voice. Employees felt valued and part of the organisation when in the care of Kirsten, who engaged heavily with employees during meetings and personal check-ins a agenda item (Kissi </w:t>
      </w:r>
      <w:r>
        <w:rPr>
          <w:i/>
          <w:iCs/>
          <w:color w:val="000000"/>
        </w:rPr>
        <w:t xml:space="preserve">et al. </w:t>
      </w:r>
      <w:r>
        <w:rPr>
          <w:color w:val="000000"/>
        </w:rPr>
        <w:t xml:space="preserve">2024). Upon takeover, Kath adopted a mastrical management style that suppressed employees: policies were announced in emails, and concerns were dismissed (Anderson &amp; Munke, Case Study). For instance, there was disagreement among workers about a decision, and when Kath was informed, she stated that Chaffinch needed to resort to "investments" and disregarded that the staff likely felt belittled and neglected. The loss of voice is disenfranchising, part of the disconnection and erosion of psyche (Acheampong et al. 2025). In efforts </w:t>
      </w:r>
      <w:r>
        <w:rPr>
          <w:color w:val="000000"/>
        </w:rPr>
        <w:t>to re-establish trust and motivation in this respect this area should be addressed by re-establishing consultation in anticipated form, such as regular feedbacks. Commitment to employee wellbeing in this area can enhance retention of talented employees whilst providing residents with high-quality, person-centred care.</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 xml:space="preserve">Q10. </w:t>
      </w:r>
      <w:r>
        <w:rPr>
          <w:rFonts w:ascii="Arial" w:cs="Arial" w:hAnsi="Arial"/>
          <w:color w:val="000000"/>
        </w:rPr>
        <w:t>Discuss how the people manager, recruitment advisor and employment relations case advisor could support the retention stage of the employee lifecycle. (AC 3.1)</w:t>
      </w:r>
    </w:p>
    <w:p>
      <w:pPr>
        <w:pStyle w:val="style0"/>
        <w:rPr>
          <w:color w:val="000000"/>
        </w:rPr>
      </w:pPr>
      <w:r>
        <w:rPr>
          <w:color w:val="000000"/>
        </w:rPr>
        <w:t>In Calmere House, the retention phase of the employee lifecycle is crucial because employee turnover was quite high following the Chaffinch Group takeover. For instance, the people manager may be on the front lines by creating activities that promote wellbeing and interaction (Stanz, 2022). As an alternative, they may resume regular staff meetings, similar to those held under Kirsten's leadership, to allow employees to voice their thoughts and feel valued. This would end the current unhappiness by enforcing rules via email without consulting anyone. The people manager could assist restore trust and stop frequent resignations by addressing people issues through the development of an inclusive culture.</w:t>
      </w:r>
    </w:p>
    <w:p>
      <w:pPr>
        <w:pStyle w:val="style0"/>
        <w:rPr>
          <w:color w:val="000000"/>
        </w:rPr>
      </w:pPr>
      <w:r>
        <w:rPr>
          <w:color w:val="000000"/>
        </w:rPr>
        <w:t>The recruiting adviser may be able to aid with retention by ensuring that the new hires are in line with the behaviors and values required for success at Calmere House. Kirsten chose people based on recommendations from colleagues while keeping their cultural fit in mind in order to have a high retention rate. The usage of agency workers who have not been thoroughly assessed aside from their qualifications has undermined this approach (Acheampong et al. 2025). The recruitment advisor would assist in hiring permanent staff members who share the ideal of compassion and teamwork in order to guarantee a lower turnover rate owing to poor cultural fit. Additionally, the employment relations case advisor can assist by actively managing issues related to dispute, sick leave, and grievances.  For instance, employees have expressed stress and discontent as workloads increase due to staffing shortages.  Early on, the case adviser can take beneficial actions like workload evaluations, mediation, or well-being initiatives (Harrison et al., 2021). They would continually demonstrate that the company cares about its workers and keep disengagement in check by promptly and fairly resolving these issues, which would eventually boost retention rates.</w:t>
      </w:r>
    </w:p>
    <w:p>
      <w:pPr>
        <w:pStyle w:val="style0"/>
        <w:snapToGrid w:val="false"/>
        <w:spacing w:after="240" w:lineRule="auto" w:line="240"/>
        <w:ind w:left="851" w:hanging="567"/>
        <w:rPr>
          <w:rFonts w:ascii="Arial" w:cs="Arial" w:hAnsi="Arial"/>
          <w:color w:val="000000"/>
        </w:rPr>
      </w:pPr>
      <w:r>
        <w:rPr>
          <w:rFonts w:ascii="Arial" w:cs="Arial" w:hAnsi="Arial"/>
          <w:b/>
          <w:bCs/>
          <w:color w:val="000000"/>
        </w:rPr>
        <w:t>Q11.</w:t>
      </w:r>
      <w:r>
        <w:rPr>
          <w:rFonts w:ascii="Arial" w:cs="Arial" w:hAnsi="Arial"/>
          <w:color w:val="000000"/>
        </w:rPr>
        <w:t xml:space="preserve"> Analyse how people practices could help Chaffinch Group to fill 100% of resident rooms within six months. (AC 3.2)</w:t>
      </w:r>
    </w:p>
    <w:p>
      <w:pPr>
        <w:pStyle w:val="style0"/>
        <w:rPr>
          <w:color w:val="000000"/>
        </w:rPr>
      </w:pPr>
      <w:r>
        <w:rPr>
          <w:color w:val="000000"/>
        </w:rPr>
        <w:t xml:space="preserve">The Chaffinch Group's objective of having 100% of Calmere House's inhabitants within six months by increasing staffing and improving working conditions and service quality may be directly related to the methods employed by the residents. According to Cashin (2021), hiring practices should be focused on reducing the employment of agency workers, who lack the cultural fit that was previously attained through coworkers' involvement in the selection process. Chaffinch would use an effective recruitment approach and value and behavioural based tests to profile committed employees who desire to be compassionate and a team player, which the care sector needs rather than just counting on credentials. This would bring stability to the residents and their family which is critical in decision making on occupancy. The practices of learning and development can also promote movement in this concern. Employees enjoyed both mentorship and training to guide them and improve the quality care in the hands of Kirsten. The lack of opportunities currently has resulted in dissatisfaction and quitting (Hong et al. 2025). </w:t>
      </w:r>
    </w:p>
    <w:p>
      <w:pPr>
        <w:pStyle w:val="style0"/>
        <w:rPr>
          <w:color w:val="000000"/>
        </w:rPr>
      </w:pPr>
      <w:r>
        <w:rPr>
          <w:color w:val="bf0000"/>
          <w:lang w:val="en-US"/>
        </w:rPr>
        <w:t xml:space="preserve">Although people practices such as recruitment, learning and development, and employee engagement can support Chaffinch Group’s goal of achieving full occupancy, they also present limitations. Recruitment focused on values and behaviours may require additional time and resources, potentially slowing the hiring process during periods of high vacancy. Similarly, reducing reliance on agency workers may initially increase staffing pressures and costs before long-term benefits are realised. Learning and development initiatives also require financial investment and may not deliver immediate improvements in occupancy rates. </w:t>
      </w:r>
      <w:r>
        <w:rPr>
          <w:color w:val="000000"/>
        </w:rPr>
        <w:t xml:space="preserve">Besides increasing morale among the staff, the re-introduction of proper development programs will allow them to continue delivering high quality care which the residents, families, and inspectors have come to appreciate. Workers will be more dedicated and confident in their jobs if they receive training, mentoring, and professional development.  This increases the quality of care offered and this is an amazing experience to the residents (Acheampong et al. 2025). A professional and committed workforce is also a positive reflective of Calmere House and made it more attractive to potential tenants. The investment into people development eventually leads to an increase in the long-term occupancy reliability and leads to stability and happiness. </w:t>
      </w:r>
      <w:r>
        <w:rPr>
          <w:color w:val="000000"/>
        </w:rPr>
        <w:t>Employee engagement strategies might raise occupancy rates further. The use of incentives, employee forums, and health benefits, among others, will reduce employee turnover and make employees more satisfied.  A high staff retention factor would immediately affect resident satisfaction and word-of-mouth referrals, as well as provide stable and individualized care (Zhenjing et al. 2022).  Chaffinch would have a highly motivated workforce as a result of the effective engrained people practices, which would boost the home's confidence and lead to full occupancy.</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r>
        <w:rPr>
          <w:rFonts w:ascii="Arial" w:cs="Arial" w:hAnsi="Arial"/>
          <w:b/>
          <w:bCs/>
          <w:color w:val="000000"/>
        </w:rPr>
        <w:t xml:space="preserve">Q12. </w:t>
      </w:r>
      <w:r>
        <w:rPr>
          <w:rFonts w:ascii="Arial" w:cs="Arial" w:hAnsi="Arial"/>
          <w:color w:val="000000"/>
        </w:rPr>
        <w:t>Discuss how Kath could consult and engage with employees to understand why employee turnover at Calmere House has increased. (AC 3.3)</w:t>
      </w:r>
    </w:p>
    <w:p>
      <w:pPr>
        <w:pStyle w:val="style0"/>
        <w:rPr>
          <w:color w:val="000000"/>
        </w:rPr>
      </w:pPr>
      <w:r>
        <w:rPr>
          <w:color w:val="000000"/>
        </w:rPr>
        <w:t>In order to get input on the reasons behind the rising turnover, Kath might meet and interact with Calmere House staff members in an organized and transparent manner (Stanz, 2022).  Introducing staff surveys would be a useful way to allow employees to freely express their opinions on issues such as overuse of agency labor, lack of involvement during the hiring process, and diminished training possibilities.   One of the signs, for instance, will be a survey showing that most care assistants lack motivation since they are not involved in assigning them to a resident and the practice made them feel as though they own the residents in the Kirsten.</w:t>
      </w:r>
    </w:p>
    <w:p>
      <w:pPr>
        <w:pStyle w:val="style0"/>
        <w:rPr>
          <w:color w:val="000000"/>
        </w:rPr>
      </w:pPr>
      <w:r>
        <w:rPr>
          <w:color w:val="000000"/>
        </w:rPr>
        <w:t>Second, Kath may lead regular team-building exercises and focus groups where staff members can go into more detail about how the Chaffinch takeover has affected their motivation levels (Hong et al. 2025).  Employees can complain that they are not motivated or feel inferior, they have not been mentored or developed in the organization and this must be corrected so as to increase their morale. The informal consultations like one-on-one talks during shifts could also prove useful in developing trust and displaying visible leadership as well.</w:t>
      </w:r>
    </w:p>
    <w:p>
      <w:pPr>
        <w:pStyle w:val="style0"/>
        <w:rPr>
          <w:color w:val="000000"/>
        </w:rPr>
      </w:pPr>
      <w:r>
        <w:rPr>
          <w:color w:val="000000"/>
        </w:rPr>
        <w:t>Exiting interviews should also be rehabilitated to provide uniform information on the true causes of quitting. This could be useful during the discovery of tendencies such as not getting along well with management or being dissatisfied with no promotion or career change (Amushila and Bussin, 2021).  Kath can use focus groups, surveys, and exit interviews as a triangulation of data to learn about the issues of the employees.  Additionally, it should be mentioned that consultation is only effective when it is demonstrated through action—that is, by witnessing things come to pass, like the chance for growth, or by including staff members in the decision-making process to make sure they understand that their participation will lead to change and thereby reduce turnover.</w:t>
      </w:r>
    </w:p>
    <w:p>
      <w:pPr>
        <w:pStyle w:val="style0"/>
        <w:snapToGrid w:val="false"/>
        <w:spacing w:after="240" w:lineRule="auto" w:line="240"/>
        <w:ind w:left="851" w:hanging="567"/>
        <w:rPr>
          <w:rFonts w:ascii="Arial" w:cs="Arial" w:hAnsi="Arial"/>
          <w:color w:val="000000"/>
        </w:rPr>
      </w:pPr>
    </w:p>
    <w:p>
      <w:pPr>
        <w:pStyle w:val="style0"/>
        <w:snapToGrid w:val="false"/>
        <w:spacing w:after="240" w:lineRule="auto" w:line="240"/>
        <w:ind w:left="851" w:hanging="567"/>
        <w:rPr>
          <w:rFonts w:ascii="Arial" w:cs="Arial" w:hAnsi="Arial"/>
          <w:color w:val="000000"/>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r>
        <w:rPr>
          <w:rFonts w:ascii="Arial" w:cs="Arial" w:hAnsi="Arial"/>
          <w:sz w:val="20"/>
          <w:szCs w:val="20"/>
        </w:rPr>
        <w:br w:type="page"/>
      </w:r>
    </w:p>
    <w:tbl>
      <w:tblPr>
        <w:tblW w:w="10679" w:type="dxa"/>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bfbfbf"/>
        <w:tblCellMar>
          <w:top w:w="113" w:type="dxa"/>
          <w:left w:w="170" w:type="dxa"/>
          <w:bottom w:w="113" w:type="dxa"/>
          <w:right w:w="170" w:type="dxa"/>
        </w:tblCellMar>
        <w:tblLook w:val="04A0" w:firstRow="1" w:lastRow="0" w:firstColumn="1" w:lastColumn="0" w:noHBand="0" w:noVBand="1"/>
      </w:tblPr>
      <w:tblGrid>
        <w:gridCol w:w="568"/>
        <w:gridCol w:w="10111"/>
      </w:tblGrid>
      <w:tr>
        <w:trPr/>
        <w:tc>
          <w:tcPr>
            <w:tcW w:w="568" w:type="dxa"/>
            <w:tcBorders/>
            <w:shd w:val="clear" w:color="auto" w:fill="347789"/>
            <w:vAlign w:val="center"/>
          </w:tcPr>
          <w:p>
            <w:pPr>
              <w:pStyle w:val="style0"/>
              <w:spacing w:after="0" w:lineRule="auto" w:line="240"/>
              <w:jc w:val="center"/>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10111" w:type="dxa"/>
            <w:tcBorders/>
            <w:shd w:val="clear" w:color="auto" w:fill="347789"/>
            <w:vAlign w:val="center"/>
          </w:tcPr>
          <w:p>
            <w:pPr>
              <w:pStyle w:val="style4097"/>
              <w:rPr>
                <w:color w:val="ffffff"/>
              </w:rPr>
            </w:pPr>
            <w:r>
              <w:rPr>
                <w:color w:val="ffffff"/>
              </w:rPr>
              <w:t xml:space="preserve">reference list </w:t>
            </w:r>
          </w:p>
        </w:tc>
      </w:tr>
    </w:tbl>
    <w:p>
      <w:pPr>
        <w:pStyle w:val="style0"/>
        <w:spacing w:before="240"/>
        <w:rPr>
          <w:color w:val="000000"/>
        </w:rPr>
      </w:pPr>
      <w:r>
        <w:rPr>
          <w:rFonts w:cs="Arial"/>
          <w:b/>
          <w:bCs/>
          <w:i/>
          <w:iCs/>
        </w:rPr>
        <w:br/>
      </w:r>
      <w:r>
        <w:rPr>
          <w:color w:val="000000"/>
        </w:rPr>
        <w:t>Acheampong, E., Oppong, D.K. and Agyei, G.K., 2025. Electronic health record system and service delivery: Using cross-sectional survey to assess the perspective of healthcare professionals in a semi-rural district in the Ashanti region of Ghana. </w:t>
      </w:r>
      <w:r>
        <w:rPr>
          <w:i/>
          <w:iCs/>
          <w:color w:val="000000"/>
        </w:rPr>
        <w:t>Digital health</w:t>
      </w:r>
      <w:r>
        <w:rPr>
          <w:color w:val="000000"/>
        </w:rPr>
        <w:t>, </w:t>
      </w:r>
      <w:r>
        <w:rPr>
          <w:i/>
          <w:iCs/>
          <w:color w:val="000000"/>
        </w:rPr>
        <w:t>11</w:t>
      </w:r>
      <w:r>
        <w:rPr>
          <w:color w:val="000000"/>
        </w:rPr>
        <w:t>, p.20552076251393400.</w:t>
      </w:r>
    </w:p>
    <w:p>
      <w:pPr>
        <w:pStyle w:val="style0"/>
        <w:spacing w:before="240"/>
        <w:rPr>
          <w:color w:val="000000"/>
        </w:rPr>
      </w:pPr>
      <w:r>
        <w:rPr>
          <w:color w:val="000000"/>
        </w:rPr>
        <w:t>Adeleke, O., 2025. Quality Improvement Project The Impact of Targeted Education and Training on the Use of Rapid Mood Screener Tool on the Rate of Mood Disorders Detection Among Psychiatric Providers.</w:t>
      </w:r>
    </w:p>
    <w:p>
      <w:pPr>
        <w:pStyle w:val="style0"/>
        <w:spacing w:before="240"/>
        <w:rPr>
          <w:color w:val="000000"/>
        </w:rPr>
      </w:pPr>
      <w:r>
        <w:rPr>
          <w:color w:val="000000"/>
        </w:rPr>
        <w:t>Blikhar, V. and Hurkovskyi, D., 2025. METHODS OF MANAGING CHANGES IN EDUCATIONAL INSTITUTIONS OF UKRAINE DURING THE CRISIS (COVID-19, WAR): STRATEGIES FOR ADAPTATION AND ENSURING CONTINUITY OF LEARNING. </w:t>
      </w:r>
      <w:r>
        <w:rPr>
          <w:i/>
          <w:iCs/>
          <w:color w:val="000000"/>
        </w:rPr>
        <w:t>Socio-economic relations in the digital society</w:t>
      </w:r>
      <w:r>
        <w:rPr>
          <w:color w:val="000000"/>
        </w:rPr>
        <w:t>, </w:t>
      </w:r>
      <w:r>
        <w:rPr>
          <w:i/>
          <w:iCs/>
          <w:color w:val="000000"/>
        </w:rPr>
        <w:t>2</w:t>
      </w:r>
      <w:r>
        <w:rPr>
          <w:color w:val="000000"/>
        </w:rPr>
        <w:t>(56), pp.136-147.</w:t>
      </w:r>
    </w:p>
    <w:p>
      <w:pPr>
        <w:pStyle w:val="style0"/>
        <w:spacing w:before="240"/>
        <w:rPr>
          <w:color w:val="000000"/>
        </w:rPr>
      </w:pPr>
      <w:r>
        <w:rPr>
          <w:color w:val="000000"/>
        </w:rPr>
        <w:t>Buchlak, Q.D., Esmaili, N., Bennett, C. and Farrokhi, F., 2021. Natural language processing applications in the clinical neurosciences: A machine learning augmented systematic review. </w:t>
      </w:r>
      <w:r>
        <w:rPr>
          <w:i/>
          <w:iCs/>
          <w:color w:val="000000"/>
        </w:rPr>
        <w:t>Machine Learning in Clinical Neuroscience: Foundations and Applications</w:t>
      </w:r>
      <w:r>
        <w:rPr>
          <w:color w:val="000000"/>
        </w:rPr>
        <w:t>, pp.277-289.</w:t>
      </w:r>
    </w:p>
    <w:p>
      <w:pPr>
        <w:pStyle w:val="style0"/>
        <w:spacing w:before="240"/>
        <w:rPr>
          <w:color w:val="000000"/>
        </w:rPr>
      </w:pPr>
      <w:r>
        <w:rPr>
          <w:color w:val="000000"/>
        </w:rPr>
        <w:t>Cashin, A., Pracilio, A. and Wilson, N., 2025. Diminished role autonomy and ambivalence: key factors in the demise of person-centred care. </w:t>
      </w:r>
      <w:r>
        <w:rPr>
          <w:i/>
          <w:iCs/>
          <w:color w:val="000000"/>
        </w:rPr>
        <w:t>Journal of Client-Centered Nursing Care</w:t>
      </w:r>
      <w:r>
        <w:rPr>
          <w:color w:val="000000"/>
        </w:rPr>
        <w:t>, </w:t>
      </w:r>
      <w:r>
        <w:rPr>
          <w:i/>
          <w:iCs/>
          <w:color w:val="000000"/>
        </w:rPr>
        <w:t>11</w:t>
      </w:r>
      <w:r>
        <w:rPr>
          <w:color w:val="000000"/>
        </w:rPr>
        <w:t>(3), pp.199-208.</w:t>
      </w:r>
    </w:p>
    <w:p>
      <w:pPr>
        <w:pStyle w:val="style0"/>
        <w:spacing w:before="240"/>
        <w:rPr>
          <w:color w:val="000000"/>
        </w:rPr>
      </w:pPr>
      <w:r>
        <w:rPr>
          <w:color w:val="000000"/>
        </w:rPr>
        <w:t>Diehl, E., Hirschmüller, A., Wege, A., Nienhaus, A. and Dietz, P., 2024. Supporting Nursing Staff During Crises: Impact of Organisational Support Measures and Resources in Job Satisfaction in German Nursing Homes. </w:t>
      </w:r>
      <w:r>
        <w:rPr>
          <w:i/>
          <w:iCs/>
          <w:color w:val="000000"/>
        </w:rPr>
        <w:t>Geriatrics</w:t>
      </w:r>
      <w:r>
        <w:rPr>
          <w:color w:val="000000"/>
        </w:rPr>
        <w:t>, </w:t>
      </w:r>
      <w:r>
        <w:rPr>
          <w:i/>
          <w:iCs/>
          <w:color w:val="000000"/>
        </w:rPr>
        <w:t>9</w:t>
      </w:r>
      <w:r>
        <w:rPr>
          <w:color w:val="000000"/>
        </w:rPr>
        <w:t>(6), p.159.</w:t>
      </w:r>
    </w:p>
    <w:p>
      <w:pPr>
        <w:pStyle w:val="style0"/>
        <w:spacing w:before="240"/>
        <w:rPr>
          <w:color w:val="000000"/>
        </w:rPr>
      </w:pPr>
      <w:r>
        <w:rPr>
          <w:color w:val="000000"/>
        </w:rPr>
        <w:t>Gao, H., Yous, M.L., Connelly, D., Hung, L., Garnett, A., Hay, M. and Snobelen, N., 2023. Implementation and impacts of virtual team-based care planning for older persons in formal care settings: A scoping review. </w:t>
      </w:r>
      <w:r>
        <w:rPr>
          <w:i/>
          <w:iCs/>
          <w:color w:val="000000"/>
        </w:rPr>
        <w:t>Digital health</w:t>
      </w:r>
      <w:r>
        <w:rPr>
          <w:color w:val="000000"/>
        </w:rPr>
        <w:t>, </w:t>
      </w:r>
      <w:r>
        <w:rPr>
          <w:i/>
          <w:iCs/>
          <w:color w:val="000000"/>
        </w:rPr>
        <w:t>9</w:t>
      </w:r>
      <w:r>
        <w:rPr>
          <w:color w:val="000000"/>
        </w:rPr>
        <w:t>, p.20552076231151567.</w:t>
      </w:r>
    </w:p>
    <w:p>
      <w:pPr>
        <w:pStyle w:val="style0"/>
        <w:spacing w:before="240"/>
        <w:rPr>
          <w:color w:val="000000"/>
        </w:rPr>
      </w:pPr>
      <w:r>
        <w:rPr>
          <w:color w:val="000000"/>
        </w:rPr>
        <w:t>Guan, X., Duan, A.M., Xin, G.K., Oyebode, J. and Liu, Y., 2025. Barriers and facilitators to implementing person-centred dementia care in long-term care facilities in Western and Asian countries: a scoping review. </w:t>
      </w:r>
      <w:r>
        <w:rPr>
          <w:i/>
          <w:iCs/>
          <w:color w:val="000000"/>
        </w:rPr>
        <w:t>Frontiers in Psychiatry</w:t>
      </w:r>
      <w:r>
        <w:rPr>
          <w:color w:val="000000"/>
        </w:rPr>
        <w:t>, </w:t>
      </w:r>
      <w:r>
        <w:rPr>
          <w:i/>
          <w:iCs/>
          <w:color w:val="000000"/>
        </w:rPr>
        <w:t>15</w:t>
      </w:r>
      <w:r>
        <w:rPr>
          <w:color w:val="000000"/>
        </w:rPr>
        <w:t>, p.1523501.</w:t>
      </w:r>
    </w:p>
    <w:p>
      <w:pPr>
        <w:pStyle w:val="style0"/>
        <w:spacing w:before="240"/>
        <w:rPr>
          <w:color w:val="000000"/>
        </w:rPr>
      </w:pPr>
      <w:r>
        <w:rPr>
          <w:color w:val="000000"/>
        </w:rPr>
        <w:t>Guerin, R.J., Harden, S.M., Rabin, B.A., Rohlman, D.S., Cunningham, T.R., TePoel, M.R., Parish, M. and Glasgow, R.E., 2021. Dissemination and implementation science approaches for occupational safety and health research: implications for advancing total worker health. </w:t>
      </w:r>
      <w:r>
        <w:rPr>
          <w:i/>
          <w:iCs/>
          <w:color w:val="000000"/>
        </w:rPr>
        <w:t>International journal of environmental research and public health</w:t>
      </w:r>
      <w:r>
        <w:rPr>
          <w:color w:val="000000"/>
        </w:rPr>
        <w:t>, </w:t>
      </w:r>
      <w:r>
        <w:rPr>
          <w:i/>
          <w:iCs/>
          <w:color w:val="000000"/>
        </w:rPr>
        <w:t>18</w:t>
      </w:r>
      <w:r>
        <w:rPr>
          <w:color w:val="000000"/>
        </w:rPr>
        <w:t>(21), p.11050.</w:t>
      </w:r>
    </w:p>
    <w:p>
      <w:pPr>
        <w:pStyle w:val="style0"/>
        <w:spacing w:before="240"/>
        <w:rPr>
          <w:color w:val="000000"/>
        </w:rPr>
      </w:pPr>
      <w:r>
        <w:rPr>
          <w:color w:val="000000"/>
        </w:rPr>
        <w:t>Harrison, M.B. and Graham, I.D., 2021. </w:t>
      </w:r>
      <w:r>
        <w:rPr>
          <w:i/>
          <w:iCs/>
          <w:color w:val="000000"/>
        </w:rPr>
        <w:t>Knowledge translation in nursing and healthcare: A roadmap to evidence-informed practice</w:t>
      </w:r>
      <w:r>
        <w:rPr>
          <w:color w:val="000000"/>
        </w:rPr>
        <w:t>. John Wiley &amp; Sons.</w:t>
      </w:r>
    </w:p>
    <w:p>
      <w:pPr>
        <w:pStyle w:val="style0"/>
        <w:spacing w:before="240"/>
        <w:rPr>
          <w:color w:val="000000"/>
        </w:rPr>
      </w:pPr>
      <w:r>
        <w:rPr>
          <w:color w:val="000000"/>
        </w:rPr>
        <w:t>Harrison, R., Fischer, S., Walpola, R.L., Chauhan, A., Babalola, T., Mears, S. and Le-Dao, H., 2021. Where do models for change management, improvement and implementation meet? A systematic review of the applications of change management models in healthcare. </w:t>
      </w:r>
      <w:r>
        <w:rPr>
          <w:i/>
          <w:iCs/>
          <w:color w:val="000000"/>
        </w:rPr>
        <w:t>Journal of healthcare leadership</w:t>
      </w:r>
      <w:r>
        <w:rPr>
          <w:color w:val="000000"/>
        </w:rPr>
        <w:t>, pp.85-108.</w:t>
      </w:r>
    </w:p>
    <w:p>
      <w:pPr>
        <w:pStyle w:val="style0"/>
        <w:spacing w:before="240"/>
        <w:rPr>
          <w:color w:val="000000"/>
        </w:rPr>
      </w:pPr>
      <w:r>
        <w:rPr>
          <w:color w:val="000000"/>
        </w:rPr>
        <w:t>Hong, S.I., Chung, S.Y. and Yoon, Y., 2025. Enhancing the validity of social measures on human rights awareness: a dual-method approach integrating exploratory factor analysis and latent profile analysis. </w:t>
      </w:r>
      <w:r>
        <w:rPr>
          <w:i/>
          <w:iCs/>
          <w:color w:val="000000"/>
        </w:rPr>
        <w:t>Journal of Elder Abuse &amp; Neglect</w:t>
      </w:r>
      <w:r>
        <w:rPr>
          <w:color w:val="000000"/>
        </w:rPr>
        <w:t>, pp.1-20.</w:t>
      </w:r>
    </w:p>
    <w:p>
      <w:pPr>
        <w:pStyle w:val="style0"/>
        <w:spacing w:before="240"/>
        <w:rPr>
          <w:color w:val="000000"/>
        </w:rPr>
      </w:pPr>
      <w:r>
        <w:rPr>
          <w:color w:val="000000"/>
        </w:rPr>
        <w:t>Kissi, J., Kruh, V., Adzakpah, G., Annobil, C., Quansah, D.K.K., Appiah, S.Y., Adwubi, V., Owusuwa, K.J., Opare, D. and Owusu-Marfo, J., 2025. Healthcare Providers and Patients Perception on Telehealth Services Adoption for Post-Operative Follow-Ups at the Korle Bu Teaching Hospital (Ghana). </w:t>
      </w:r>
      <w:r>
        <w:rPr>
          <w:i/>
          <w:iCs/>
          <w:color w:val="000000"/>
        </w:rPr>
        <w:t>Health Services Insights</w:t>
      </w:r>
      <w:r>
        <w:rPr>
          <w:color w:val="000000"/>
        </w:rPr>
        <w:t>, </w:t>
      </w:r>
      <w:r>
        <w:rPr>
          <w:i/>
          <w:iCs/>
          <w:color w:val="000000"/>
        </w:rPr>
        <w:t>18</w:t>
      </w:r>
      <w:r>
        <w:rPr>
          <w:color w:val="000000"/>
        </w:rPr>
        <w:t>, p.11786329251361611.</w:t>
      </w:r>
    </w:p>
    <w:p>
      <w:pPr>
        <w:pStyle w:val="style0"/>
        <w:spacing w:before="240"/>
        <w:rPr>
          <w:color w:val="000000"/>
        </w:rPr>
      </w:pPr>
      <w:r>
        <w:rPr>
          <w:color w:val="000000"/>
        </w:rPr>
        <w:t>Lindner, H., Kihlgren, A. and Pejner, M.N., 2023. Person-centred care in nursing homes during the COVID-19 pandemic: a cross sectional study based on nursing staff and first-line managers’ self-reported outcomes. </w:t>
      </w:r>
      <w:r>
        <w:rPr>
          <w:i/>
          <w:iCs/>
          <w:color w:val="000000"/>
        </w:rPr>
        <w:t>BMC nursing</w:t>
      </w:r>
      <w:r>
        <w:rPr>
          <w:color w:val="000000"/>
        </w:rPr>
        <w:t>, </w:t>
      </w:r>
      <w:r>
        <w:rPr>
          <w:i/>
          <w:iCs/>
          <w:color w:val="000000"/>
        </w:rPr>
        <w:t>22</w:t>
      </w:r>
      <w:r>
        <w:rPr>
          <w:color w:val="000000"/>
        </w:rPr>
        <w:t>(1), p.276.</w:t>
      </w:r>
    </w:p>
    <w:p>
      <w:pPr>
        <w:pStyle w:val="style0"/>
        <w:spacing w:before="240"/>
        <w:rPr>
          <w:color w:val="000000"/>
        </w:rPr>
      </w:pPr>
      <w:r>
        <w:rPr>
          <w:color w:val="000000"/>
        </w:rPr>
        <w:t>Mensah, N.K., Adzakpah, G., Kissi, J., Abdulai, K., Taylor-Abdulai, H., Johnson, S.B., Opoku, C., Hallo, C. and Boadu, R.O., 2024. Health professionals’ perceptions of electronic health records system: a mixed method study in Ghana. </w:t>
      </w:r>
      <w:r>
        <w:rPr>
          <w:i/>
          <w:iCs/>
          <w:color w:val="000000"/>
        </w:rPr>
        <w:t>BMC Medical Informatics and Decision Making</w:t>
      </w:r>
      <w:r>
        <w:rPr>
          <w:color w:val="000000"/>
        </w:rPr>
        <w:t>, </w:t>
      </w:r>
      <w:r>
        <w:rPr>
          <w:i/>
          <w:iCs/>
          <w:color w:val="000000"/>
        </w:rPr>
        <w:t>24</w:t>
      </w:r>
      <w:r>
        <w:rPr>
          <w:color w:val="000000"/>
        </w:rPr>
        <w:t>(1), p.254.</w:t>
      </w:r>
    </w:p>
    <w:p>
      <w:pPr>
        <w:pStyle w:val="style0"/>
        <w:spacing w:before="240"/>
        <w:rPr>
          <w:color w:val="000000"/>
        </w:rPr>
      </w:pPr>
      <w:r>
        <w:rPr>
          <w:color w:val="000000"/>
        </w:rPr>
        <w:t>Mensah, N.K., Adzakpah, G., Kissi, J., Taylor-Abdulai, H., Johnson, S.B., Agbeshie, P.A., Opoku, C., Abakah, J., Osei, E., Agyekum, A.Y. and Boadu, R.O., 2024. Health professionals’ ethical, security, and patient safety concerns using digital health technologies: a mixed method research study. </w:t>
      </w:r>
      <w:r>
        <w:rPr>
          <w:i/>
          <w:iCs/>
          <w:color w:val="000000"/>
        </w:rPr>
        <w:t>Health Services Insights</w:t>
      </w:r>
      <w:r>
        <w:rPr>
          <w:color w:val="000000"/>
        </w:rPr>
        <w:t>, </w:t>
      </w:r>
      <w:r>
        <w:rPr>
          <w:i/>
          <w:iCs/>
          <w:color w:val="000000"/>
        </w:rPr>
        <w:t>17</w:t>
      </w:r>
      <w:r>
        <w:rPr>
          <w:color w:val="000000"/>
        </w:rPr>
        <w:t>, p.11786329241303379.</w:t>
      </w:r>
    </w:p>
    <w:p>
      <w:pPr>
        <w:pStyle w:val="style0"/>
        <w:spacing w:before="240"/>
        <w:rPr>
          <w:color w:val="000000"/>
        </w:rPr>
      </w:pPr>
      <w:r>
        <w:rPr>
          <w:color w:val="000000"/>
        </w:rPr>
        <w:t>Mwogosi, A. and Kibusi, S., 2025. Effectiveness of EHR systems on decision support in primary healthcare: a technology acceptance model 3 perspective. </w:t>
      </w:r>
      <w:r>
        <w:rPr>
          <w:i/>
          <w:iCs/>
          <w:color w:val="000000"/>
        </w:rPr>
        <w:t>Journal of Health Organization and Management</w:t>
      </w:r>
      <w:r>
        <w:rPr>
          <w:color w:val="000000"/>
        </w:rPr>
        <w:t>, </w:t>
      </w:r>
      <w:r>
        <w:rPr>
          <w:i/>
          <w:iCs/>
          <w:color w:val="000000"/>
        </w:rPr>
        <w:t>39</w:t>
      </w:r>
      <w:r>
        <w:rPr>
          <w:color w:val="000000"/>
        </w:rPr>
        <w:t>(3), pp.310-333.</w:t>
      </w:r>
    </w:p>
    <w:p>
      <w:pPr>
        <w:pStyle w:val="style0"/>
        <w:spacing w:before="240"/>
        <w:rPr>
          <w:color w:val="000000"/>
        </w:rPr>
      </w:pPr>
      <w:r>
        <w:rPr>
          <w:color w:val="000000"/>
        </w:rPr>
        <w:t>Okyere Boadu, R., Adzakpah, G., Kumasenu Mensah, N., Okyere Boadu, K.A., Kissi, J., Dziyaba, C. and Bermaa Abrefa, R., 2024. Healthcare providers’ perception towards utilization of health information applications and its associated factors in healthcare delivery in health facilities in Cape Coast Metropolis, Ghana. </w:t>
      </w:r>
      <w:r>
        <w:rPr>
          <w:i/>
          <w:iCs/>
          <w:color w:val="000000"/>
        </w:rPr>
        <w:t>Plos one</w:t>
      </w:r>
      <w:r>
        <w:rPr>
          <w:color w:val="000000"/>
        </w:rPr>
        <w:t>, </w:t>
      </w:r>
      <w:r>
        <w:rPr>
          <w:i/>
          <w:iCs/>
          <w:color w:val="000000"/>
        </w:rPr>
        <w:t>19</w:t>
      </w:r>
      <w:r>
        <w:rPr>
          <w:color w:val="000000"/>
        </w:rPr>
        <w:t>(2), p.e0297388.</w:t>
      </w:r>
    </w:p>
    <w:p>
      <w:pPr>
        <w:pStyle w:val="style0"/>
        <w:spacing w:before="240"/>
        <w:rPr>
          <w:color w:val="000000"/>
        </w:rPr>
      </w:pPr>
      <w:r>
        <w:rPr>
          <w:color w:val="000000"/>
        </w:rPr>
        <w:t>Riello, M., Purgato, M., Bove, C., MacTaggart, D. and Rusconi, E., 2020. Prevalence of post-traumatic symptomatology and anxiety among residential nursing and care home workers following the first COVID-19 outbreak in Northern Italy. </w:t>
      </w:r>
      <w:r>
        <w:rPr>
          <w:i/>
          <w:iCs/>
          <w:color w:val="000000"/>
        </w:rPr>
        <w:t>Royal Society open science</w:t>
      </w:r>
      <w:r>
        <w:rPr>
          <w:color w:val="000000"/>
        </w:rPr>
        <w:t>, </w:t>
      </w:r>
      <w:r>
        <w:rPr>
          <w:i/>
          <w:iCs/>
          <w:color w:val="000000"/>
        </w:rPr>
        <w:t>7</w:t>
      </w:r>
      <w:r>
        <w:rPr>
          <w:color w:val="000000"/>
        </w:rPr>
        <w:t>(9), p.200880.</w:t>
      </w:r>
    </w:p>
    <w:p>
      <w:pPr>
        <w:pStyle w:val="style0"/>
        <w:spacing w:before="240"/>
        <w:rPr>
          <w:color w:val="000000"/>
        </w:rPr>
      </w:pPr>
      <w:r>
        <w:rPr>
          <w:color w:val="000000"/>
        </w:rPr>
        <w:t>Shelton, R.C., Adsul, P., Oh, A., Moise, N. and Griffith, D.M., 2021. Application of an antiracism lens in the field of implementation science (IS): recommendations for reframing implementation research with a focus on justice and racial equity. </w:t>
      </w:r>
      <w:r>
        <w:rPr>
          <w:i/>
          <w:iCs/>
          <w:color w:val="000000"/>
        </w:rPr>
        <w:t>Implementation Research and Practice</w:t>
      </w:r>
      <w:r>
        <w:rPr>
          <w:color w:val="000000"/>
        </w:rPr>
        <w:t>, </w:t>
      </w:r>
      <w:r>
        <w:rPr>
          <w:i/>
          <w:iCs/>
          <w:color w:val="000000"/>
        </w:rPr>
        <w:t>2</w:t>
      </w:r>
      <w:r>
        <w:rPr>
          <w:color w:val="000000"/>
        </w:rPr>
        <w:t>, p.26334895211049482.</w:t>
      </w:r>
    </w:p>
    <w:p>
      <w:pPr>
        <w:pStyle w:val="style0"/>
        <w:spacing w:before="240"/>
        <w:rPr>
          <w:color w:val="000000"/>
        </w:rPr>
      </w:pPr>
      <w:r>
        <w:rPr>
          <w:color w:val="000000"/>
        </w:rPr>
        <w:t>Snow, M., Silva Ribeiro, W., Baginsky, M., Di Giorgio, S., Farrelly, N., Larkins, C., Poole, K., Steils, N., Westwood, J. and Malley, J., 2024. Good practice in the implementation of electronic care records in adult social care: a rapid scoping review. </w:t>
      </w:r>
      <w:r>
        <w:rPr>
          <w:i/>
          <w:iCs/>
          <w:color w:val="000000"/>
        </w:rPr>
        <w:t>JMIR Aging</w:t>
      </w:r>
      <w:r>
        <w:rPr>
          <w:color w:val="000000"/>
        </w:rPr>
        <w:t>.</w:t>
      </w:r>
    </w:p>
    <w:p>
      <w:pPr>
        <w:pStyle w:val="style0"/>
        <w:spacing w:before="240"/>
        <w:rPr>
          <w:color w:val="000000"/>
          <w:lang w:val="de-DE"/>
        </w:rPr>
      </w:pPr>
      <w:r>
        <w:rPr>
          <w:color w:val="000000"/>
        </w:rPr>
        <w:t>Snow, M., Silva-Ribeiro, W., Baginsky, M., Di Giorgio, S., Farrelly, N., Larkins, C., Poole, K., Steils, N., Westwood, J. and Malley, J., 2025. Best Practices for Implementing Electronic Care Records in Adult Social Care: Rapid Scoping Review. </w:t>
      </w:r>
      <w:r>
        <w:rPr>
          <w:i/>
          <w:iCs/>
          <w:color w:val="000000"/>
          <w:lang w:val="de-DE"/>
        </w:rPr>
        <w:t xml:space="preserve">JMIR </w:t>
      </w:r>
      <w:r>
        <w:rPr>
          <w:i/>
          <w:iCs/>
          <w:color w:val="000000"/>
          <w:lang w:val="de-DE"/>
        </w:rPr>
        <w:t>aging</w:t>
      </w:r>
      <w:r>
        <w:rPr>
          <w:color w:val="000000"/>
          <w:lang w:val="de-DE"/>
        </w:rPr>
        <w:t>, </w:t>
      </w:r>
      <w:r>
        <w:rPr>
          <w:i/>
          <w:iCs/>
          <w:color w:val="000000"/>
          <w:lang w:val="de-DE"/>
        </w:rPr>
        <w:t>8</w:t>
      </w:r>
      <w:r>
        <w:rPr>
          <w:color w:val="000000"/>
          <w:lang w:val="de-DE"/>
        </w:rPr>
        <w:t>, p.e60107.</w:t>
      </w:r>
    </w:p>
    <w:p>
      <w:pPr>
        <w:pStyle w:val="style0"/>
        <w:spacing w:before="240"/>
        <w:rPr>
          <w:color w:val="000000"/>
        </w:rPr>
      </w:pPr>
      <w:r>
        <w:rPr>
          <w:color w:val="000000"/>
          <w:lang w:val="de-DE"/>
        </w:rPr>
        <w:t>Stanz</w:t>
      </w:r>
      <w:r>
        <w:rPr>
          <w:color w:val="000000"/>
          <w:lang w:val="de-DE"/>
        </w:rPr>
        <w:t xml:space="preserve">, L., Silverstein, S., </w:t>
      </w:r>
      <w:r>
        <w:rPr>
          <w:color w:val="000000"/>
          <w:lang w:val="de-DE"/>
        </w:rPr>
        <w:t>Vo</w:t>
      </w:r>
      <w:r>
        <w:rPr>
          <w:color w:val="000000"/>
          <w:lang w:val="de-DE"/>
        </w:rPr>
        <w:t xml:space="preserve">, D. and Thompson, J., 2022. </w:t>
      </w:r>
      <w:r>
        <w:rPr>
          <w:color w:val="000000"/>
        </w:rPr>
        <w:t>Leading through rapid change management. </w:t>
      </w:r>
      <w:r>
        <w:rPr>
          <w:i/>
          <w:iCs/>
          <w:color w:val="000000"/>
        </w:rPr>
        <w:t>Hospital pharmacy</w:t>
      </w:r>
      <w:r>
        <w:rPr>
          <w:color w:val="000000"/>
        </w:rPr>
        <w:t>, </w:t>
      </w:r>
      <w:r>
        <w:rPr>
          <w:i/>
          <w:iCs/>
          <w:color w:val="000000"/>
        </w:rPr>
        <w:t>57</w:t>
      </w:r>
      <w:r>
        <w:rPr>
          <w:color w:val="000000"/>
        </w:rPr>
        <w:t>(4), pp.422-424.</w:t>
      </w:r>
    </w:p>
    <w:p>
      <w:pPr>
        <w:pStyle w:val="style0"/>
        <w:spacing w:before="240"/>
        <w:rPr>
          <w:color w:val="000000"/>
        </w:rPr>
      </w:pPr>
      <w:r>
        <w:rPr>
          <w:color w:val="000000"/>
        </w:rPr>
        <w:t>Sylla, B., Ismaila, O. and Diallo, G., 2025. 25 Years of Digital Health Toward Universal Health Coverage in Low-and Middle-Income Countries: Rapid Systematic Review. </w:t>
      </w:r>
      <w:r>
        <w:rPr>
          <w:i/>
          <w:iCs/>
          <w:color w:val="000000"/>
        </w:rPr>
        <w:t>Journal of medical Internet research</w:t>
      </w:r>
      <w:r>
        <w:rPr>
          <w:color w:val="000000"/>
        </w:rPr>
        <w:t>, </w:t>
      </w:r>
      <w:r>
        <w:rPr>
          <w:i/>
          <w:iCs/>
          <w:color w:val="000000"/>
        </w:rPr>
        <w:t>27</w:t>
      </w:r>
      <w:r>
        <w:rPr>
          <w:color w:val="000000"/>
        </w:rPr>
        <w:t>, p.e59042.</w:t>
      </w:r>
    </w:p>
    <w:p>
      <w:pPr>
        <w:pStyle w:val="style0"/>
        <w:spacing w:before="240"/>
        <w:rPr>
          <w:color w:val="000000"/>
        </w:rPr>
      </w:pPr>
      <w:r>
        <w:rPr>
          <w:color w:val="000000"/>
        </w:rPr>
        <w:t>Thompson, H.M., Clement, A.M., Ortiz, R., Preston, T.M., Quantrell, A.L.W., Enfield, M., King, A.J., Klosinski, L., Reback, C.J., Hamilton, A. and Milburn, N., 2022. Community engagement to improve access to healthcare: a comparative case study to advance implementation science for transgender health equity. </w:t>
      </w:r>
      <w:r>
        <w:rPr>
          <w:i/>
          <w:iCs/>
          <w:color w:val="000000"/>
        </w:rPr>
        <w:t>International Journal for Equity in Health</w:t>
      </w:r>
      <w:r>
        <w:rPr>
          <w:color w:val="000000"/>
        </w:rPr>
        <w:t>, </w:t>
      </w:r>
      <w:r>
        <w:rPr>
          <w:i/>
          <w:iCs/>
          <w:color w:val="000000"/>
        </w:rPr>
        <w:t>21</w:t>
      </w:r>
      <w:r>
        <w:rPr>
          <w:color w:val="000000"/>
        </w:rPr>
        <w:t>(1), p.104.</w:t>
      </w:r>
    </w:p>
    <w:p>
      <w:pPr>
        <w:pStyle w:val="style0"/>
        <w:spacing w:before="240"/>
        <w:rPr>
          <w:color w:val="000000"/>
        </w:rPr>
      </w:pPr>
      <w:r>
        <w:rPr>
          <w:color w:val="000000"/>
        </w:rPr>
        <w:t>Walsh-Bailey, C., Tsai, E., Tabak, R.G., Morshed, A.B., Norton, W.E., McKay, V.R., Brownson, R.C. and Gifford, S., 2021. A scoping review of de-implementation frameworks and models. </w:t>
      </w:r>
      <w:r>
        <w:rPr>
          <w:i/>
          <w:iCs/>
          <w:color w:val="000000"/>
        </w:rPr>
        <w:t>Implementation Science</w:t>
      </w:r>
      <w:r>
        <w:rPr>
          <w:color w:val="000000"/>
        </w:rPr>
        <w:t>, </w:t>
      </w:r>
      <w:r>
        <w:rPr>
          <w:i/>
          <w:iCs/>
          <w:color w:val="000000"/>
        </w:rPr>
        <w:t>16</w:t>
      </w:r>
      <w:r>
        <w:rPr>
          <w:color w:val="000000"/>
        </w:rPr>
        <w:t>(1), p.100.</w:t>
      </w:r>
    </w:p>
    <w:p>
      <w:pPr>
        <w:pStyle w:val="style0"/>
        <w:spacing w:before="240"/>
        <w:rPr>
          <w:color w:val="000000"/>
        </w:rPr>
      </w:pPr>
      <w:r>
        <w:rPr>
          <w:color w:val="000000"/>
        </w:rPr>
        <w:t>Yuen, E., Winter, N., Savira, F., Huggins, C.E., Nguyen, L., Cooper, P., Peeters, A., Anderson, K., Bhoyroo, R., Crowe, S. and Ugalde, A., 2024. Digital health literacy and its association with sociodemographic characteristics, health resource use, and health outcomes: rapid review. </w:t>
      </w:r>
      <w:r>
        <w:rPr>
          <w:i/>
          <w:iCs/>
          <w:color w:val="000000"/>
        </w:rPr>
        <w:t>Interactive journal of medical research</w:t>
      </w:r>
      <w:r>
        <w:rPr>
          <w:color w:val="000000"/>
        </w:rPr>
        <w:t>, </w:t>
      </w:r>
      <w:r>
        <w:rPr>
          <w:i/>
          <w:iCs/>
          <w:color w:val="000000"/>
        </w:rPr>
        <w:t>13</w:t>
      </w:r>
      <w:r>
        <w:rPr>
          <w:color w:val="000000"/>
        </w:rPr>
        <w:t>(1), p.e46888.</w:t>
      </w:r>
    </w:p>
    <w:p>
      <w:pPr>
        <w:pStyle w:val="style0"/>
        <w:spacing w:before="240" w:after="160" w:lineRule="auto" w:line="360"/>
        <w:jc w:val="both"/>
        <w:rPr>
          <w:color w:val="000000"/>
        </w:rPr>
      </w:pP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Abugre,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and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Bhengu,</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B.R.,</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2024.</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Nurse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managers'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perceptions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of</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patient‐centred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care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and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its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influence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quality</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nursing</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care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and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nurse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job</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satisfaction: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Empirical</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research</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qualitative. </w:t>
      </w:r>
      <w:r>
        <w:rPr>
          <w:rFonts w:ascii="Calibri" w:cs="Times New Roman" w:eastAsia="Calibri" w:hAnsi="Calibri" w:hint="default"/>
          <w:b w:val="false"/>
          <w:bCs w:val="false"/>
          <w:i/>
          <w:iCs/>
          <w:color w:val="000000"/>
          <w:sz w:val="22"/>
          <w:szCs w:val="22"/>
          <w:highlight w:val="none"/>
          <w:vertAlign w:val="baseline"/>
          <w:em w:val="none"/>
          <w:lang w:val="en-GB" w:eastAsia="en-US"/>
        </w:rPr>
        <w:t>Nursing</w:t>
      </w:r>
      <w:r>
        <w:rPr>
          <w:rFonts w:ascii="Calibri" w:cs="Times New Roman" w:eastAsia="Calibri" w:hAnsi="Calibri" w:hint="default"/>
          <w:b w:val="false"/>
          <w:bCs w:val="false"/>
          <w:i/>
          <w:iCs/>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iCs/>
          <w:color w:val="000000"/>
          <w:sz w:val="22"/>
          <w:szCs w:val="22"/>
          <w:highlight w:val="none"/>
          <w:vertAlign w:val="baseline"/>
          <w:em w:val="none"/>
          <w:lang w:val="en-GB" w:eastAsia="en-US"/>
        </w:rPr>
        <w:t>Open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iCs/>
          <w:color w:val="000000"/>
          <w:sz w:val="22"/>
          <w:szCs w:val="22"/>
          <w:highlight w:val="none"/>
          <w:vertAlign w:val="baseline"/>
          <w:em w:val="none"/>
          <w:lang w:val="en-GB" w:eastAsia="en-US"/>
        </w:rPr>
        <w:t>11</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(1),</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p.e2071.</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fldChar w:fldCharType="begin"/>
      </w:r>
      <w:r>
        <w:instrText xml:space="preserve"> HYPERLINK "https://onlinelibrary.wiley.com/doi/abs/10.1002/nop2.2071" </w:instrText>
      </w:r>
      <w:r>
        <w:rPr/>
        <w:fldChar w:fldCharType="separate"/>
      </w:r>
      <w:r>
        <w:rPr>
          <w:rStyle w:val="style85"/>
          <w:rFonts w:ascii="Calibri" w:cs="Times New Roman" w:eastAsia="Calibri" w:hAnsi="Calibri" w:hint="default"/>
          <w:b w:val="false"/>
          <w:bCs w:val="false"/>
          <w:i w:val="false"/>
          <w:iCs w:val="false"/>
          <w:color w:val="0563c1"/>
          <w:sz w:val="22"/>
          <w:szCs w:val="22"/>
          <w:highlight w:val="none"/>
          <w:u w:val="single" w:color="auto"/>
          <w:vertAlign w:val="baseline"/>
          <w:em w:val="none"/>
          <w:lang w:val="en-GB" w:eastAsia="en-US"/>
        </w:rPr>
        <w:t>https://onlinelibrary.wiley.com/doi/abs/10.1002/nop2.2071</w:t>
      </w:r>
      <w:r>
        <w:rPr/>
        <w:fldChar w:fldCharType="end"/>
      </w:r>
    </w:p>
    <w:p>
      <w:pPr>
        <w:pStyle w:val="style0"/>
        <w:spacing w:before="240" w:after="160" w:lineRule="auto" w:line="360"/>
        <w:jc w:val="both"/>
        <w:rPr>
          <w:color w:val="000000"/>
        </w:rPr>
      </w:pP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Anker-Hansen,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C.,</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Olsen,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L.B.,</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Grøndahl,</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V.A.,</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Helgesen,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A.K.,</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Bååth,</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C.,</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Halvorsrud,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L.,</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Restad,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G.</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and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McCormack,</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B.,</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2025.</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The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interplay</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of</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leadership</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dynamics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and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person-centred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practice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in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nursing</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homes: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mixed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methods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systematic</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review. </w:t>
      </w:r>
      <w:r>
        <w:rPr>
          <w:rFonts w:ascii="Calibri" w:cs="Times New Roman" w:eastAsia="Calibri" w:hAnsi="Calibri" w:hint="default"/>
          <w:b w:val="false"/>
          <w:bCs w:val="false"/>
          <w:i/>
          <w:iCs/>
          <w:color w:val="000000"/>
          <w:sz w:val="22"/>
          <w:szCs w:val="22"/>
          <w:highlight w:val="none"/>
          <w:vertAlign w:val="baseline"/>
          <w:em w:val="none"/>
          <w:lang w:val="en-GB" w:eastAsia="en-US"/>
        </w:rPr>
        <w:t>Frontiers</w:t>
      </w:r>
      <w:r>
        <w:rPr>
          <w:rFonts w:ascii="Calibri" w:cs="Times New Roman" w:eastAsia="Calibri" w:hAnsi="Calibri" w:hint="default"/>
          <w:b w:val="false"/>
          <w:bCs w:val="false"/>
          <w:i/>
          <w:iCs/>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iCs/>
          <w:color w:val="000000"/>
          <w:sz w:val="22"/>
          <w:szCs w:val="22"/>
          <w:highlight w:val="none"/>
          <w:vertAlign w:val="baseline"/>
          <w:em w:val="none"/>
          <w:lang w:val="en-GB" w:eastAsia="en-US"/>
        </w:rPr>
        <w:t>in</w:t>
      </w:r>
      <w:r>
        <w:rPr>
          <w:rFonts w:ascii="Calibri" w:cs="Times New Roman" w:eastAsia="Calibri" w:hAnsi="Calibri" w:hint="default"/>
          <w:b w:val="false"/>
          <w:bCs w:val="false"/>
          <w:i/>
          <w:iCs/>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iCs/>
          <w:color w:val="000000"/>
          <w:sz w:val="22"/>
          <w:szCs w:val="22"/>
          <w:highlight w:val="none"/>
          <w:vertAlign w:val="baseline"/>
          <w:em w:val="none"/>
          <w:lang w:val="en-GB" w:eastAsia="en-US"/>
        </w:rPr>
        <w:t>Health</w:t>
      </w:r>
      <w:r>
        <w:rPr>
          <w:rFonts w:ascii="Calibri" w:cs="Times New Roman" w:eastAsia="Calibri" w:hAnsi="Calibri" w:hint="default"/>
          <w:b w:val="false"/>
          <w:bCs w:val="false"/>
          <w:i/>
          <w:iCs/>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iCs/>
          <w:color w:val="000000"/>
          <w:sz w:val="22"/>
          <w:szCs w:val="22"/>
          <w:highlight w:val="none"/>
          <w:vertAlign w:val="baseline"/>
          <w:em w:val="none"/>
          <w:lang w:val="en-GB" w:eastAsia="en-US"/>
        </w:rPr>
        <w:t>Services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iCs/>
          <w:color w:val="000000"/>
          <w:sz w:val="22"/>
          <w:szCs w:val="22"/>
          <w:highlight w:val="none"/>
          <w:vertAlign w:val="baseline"/>
          <w:em w:val="none"/>
          <w:lang w:val="en-GB" w:eastAsia="en-US"/>
        </w:rPr>
        <w:t>5</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p.1535414.</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fldChar w:fldCharType="begin"/>
      </w:r>
      <w:r>
        <w:instrText xml:space="preserve"> HYPERLINK "https://www.frontiersin.org/journals/health-services/articles/10.3389/frhs.2025.1535414/abstract" </w:instrText>
      </w:r>
      <w:r>
        <w:rPr/>
        <w:fldChar w:fldCharType="separate"/>
      </w:r>
      <w:r>
        <w:rPr>
          <w:rStyle w:val="style85"/>
          <w:rFonts w:ascii="Calibri" w:cs="Times New Roman" w:eastAsia="Calibri" w:hAnsi="Calibri" w:hint="default"/>
          <w:b w:val="false"/>
          <w:bCs w:val="false"/>
          <w:i w:val="false"/>
          <w:iCs w:val="false"/>
          <w:color w:val="0563c1"/>
          <w:sz w:val="22"/>
          <w:szCs w:val="22"/>
          <w:highlight w:val="none"/>
          <w:u w:val="single" w:color="auto"/>
          <w:vertAlign w:val="baseline"/>
          <w:em w:val="none"/>
          <w:lang w:val="en-GB" w:eastAsia="en-US"/>
        </w:rPr>
        <w:t>https://www.frontiersin.org/journals/health-services/articles/10.3389/frhs.2025.1535414/abstract</w:t>
      </w:r>
      <w:r>
        <w:rPr/>
        <w:fldChar w:fldCharType="end"/>
      </w:r>
    </w:p>
    <w:p>
      <w:pPr>
        <w:pStyle w:val="style0"/>
        <w:spacing w:before="240" w:after="160" w:lineRule="auto" w:line="360"/>
        <w:jc w:val="both"/>
        <w:rPr>
          <w:color w:val="000000"/>
        </w:rPr>
      </w:pP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Černe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Kolarič,</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J.,</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Plemenitaš</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Ilješ,</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Kraner,</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Gönc,</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V.,</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Lorber,</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Mlinar</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Reljić,</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Fekonja,</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Z.</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and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Kmetec,</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2024,</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September.</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Long-term</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impact</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of</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community</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psychiatric</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care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quality</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of</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life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amongst</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people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living</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with</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schizophrenia:</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systematic</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review.</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In </w:t>
      </w:r>
      <w:r>
        <w:rPr>
          <w:rFonts w:ascii="Calibri" w:cs="Times New Roman" w:eastAsia="Calibri" w:hAnsi="Calibri" w:hint="default"/>
          <w:b w:val="false"/>
          <w:bCs w:val="false"/>
          <w:i/>
          <w:iCs/>
          <w:color w:val="000000"/>
          <w:sz w:val="22"/>
          <w:szCs w:val="22"/>
          <w:highlight w:val="none"/>
          <w:vertAlign w:val="baseline"/>
          <w:em w:val="none"/>
          <w:lang w:val="en-GB" w:eastAsia="en-US"/>
        </w:rPr>
        <w:t>Healthcare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(Vol.</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12,</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No.</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17,</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1750).</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MDPI.</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https://www.mdpi.com/2227-9032/12/17/1750</w:t>
      </w:r>
    </w:p>
    <w:p>
      <w:pPr>
        <w:pStyle w:val="style0"/>
        <w:spacing w:before="240" w:after="160" w:lineRule="auto" w:line="360"/>
        <w:jc w:val="both"/>
        <w:rPr>
          <w:color w:val="000000"/>
        </w:rPr>
      </w:pP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Lorber,</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Mlinar</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Reljić,</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McCormack,</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B.</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and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Kmetec,</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2025,</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June.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Person-Centred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Care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in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Association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with</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Psychological</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Well-Being</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of</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Older</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Adults.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In </w:t>
      </w:r>
      <w:r>
        <w:rPr>
          <w:rFonts w:ascii="Calibri" w:cs="Times New Roman" w:eastAsia="Calibri" w:hAnsi="Calibri" w:hint="default"/>
          <w:b w:val="false"/>
          <w:bCs w:val="false"/>
          <w:i/>
          <w:iCs/>
          <w:color w:val="000000"/>
          <w:sz w:val="22"/>
          <w:szCs w:val="22"/>
          <w:highlight w:val="none"/>
          <w:vertAlign w:val="baseline"/>
          <w:em w:val="none"/>
          <w:lang w:val="en-GB" w:eastAsia="en-US"/>
        </w:rPr>
        <w:t>Healthcare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(Vol.</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13,</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No.</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12,</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1379).</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MDPI.</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fldChar w:fldCharType="begin"/>
      </w:r>
      <w:r>
        <w:instrText xml:space="preserve"> HYPERLINK "https://www.mdpi.com/2227-9032/13/12/1379" </w:instrText>
      </w:r>
      <w:r>
        <w:rPr/>
        <w:fldChar w:fldCharType="separate"/>
      </w:r>
      <w:r>
        <w:rPr>
          <w:rStyle w:val="style85"/>
          <w:rFonts w:ascii="Calibri" w:cs="Times New Roman" w:eastAsia="Calibri" w:hAnsi="Calibri" w:hint="default"/>
          <w:b w:val="false"/>
          <w:bCs w:val="false"/>
          <w:i w:val="false"/>
          <w:iCs w:val="false"/>
          <w:color w:val="0563c1"/>
          <w:sz w:val="22"/>
          <w:szCs w:val="22"/>
          <w:highlight w:val="none"/>
          <w:u w:val="single" w:color="auto"/>
          <w:vertAlign w:val="baseline"/>
          <w:em w:val="none"/>
          <w:lang w:val="en-GB" w:eastAsia="en-US"/>
        </w:rPr>
        <w:t>https://www.mdpi.com/2227-9032/13/12/1379</w:t>
      </w:r>
      <w:r>
        <w:rPr/>
        <w:fldChar w:fldCharType="end"/>
      </w:r>
    </w:p>
    <w:p>
      <w:pPr>
        <w:pStyle w:val="style0"/>
        <w:spacing w:before="240" w:after="160" w:lineRule="auto" w:line="360"/>
        <w:jc w:val="both"/>
        <w:rPr>
          <w:color w:val="000000"/>
        </w:rPr>
      </w:pP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Xu,</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L.,</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Olsson,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Zhu,</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K.,</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Zhou,</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Z.</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and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Engström,</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M.,</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2025.</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Effects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of</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training</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program</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on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person-centered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care</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in</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nursing</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homes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rated</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by</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residents: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a</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quasi-experimental</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design. </w:t>
      </w:r>
      <w:r>
        <w:rPr>
          <w:rFonts w:ascii="Calibri" w:cs="Times New Roman" w:eastAsia="Calibri" w:hAnsi="Calibri" w:hint="default"/>
          <w:b w:val="false"/>
          <w:bCs w:val="false"/>
          <w:i/>
          <w:iCs/>
          <w:color w:val="000000"/>
          <w:sz w:val="22"/>
          <w:szCs w:val="22"/>
          <w:highlight w:val="none"/>
          <w:vertAlign w:val="baseline"/>
          <w:em w:val="none"/>
          <w:lang w:val="en-GB" w:eastAsia="en-US"/>
        </w:rPr>
        <w:t>BMC</w:t>
      </w:r>
      <w:r>
        <w:rPr>
          <w:rFonts w:ascii="Calibri" w:cs="Times New Roman" w:eastAsia="Calibri" w:hAnsi="Calibri" w:hint="default"/>
          <w:b w:val="false"/>
          <w:bCs w:val="false"/>
          <w:i/>
          <w:iCs/>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iCs/>
          <w:color w:val="000000"/>
          <w:sz w:val="22"/>
          <w:szCs w:val="22"/>
          <w:highlight w:val="none"/>
          <w:vertAlign w:val="baseline"/>
          <w:em w:val="none"/>
          <w:lang w:val="en-GB" w:eastAsia="en-US"/>
        </w:rPr>
        <w:t>geriatrics</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iCs/>
          <w:color w:val="000000"/>
          <w:sz w:val="22"/>
          <w:szCs w:val="22"/>
          <w:highlight w:val="none"/>
          <w:vertAlign w:val="baseline"/>
          <w:em w:val="none"/>
          <w:lang w:val="en-GB" w:eastAsia="en-US"/>
        </w:rPr>
        <w:t>25</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(1),</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pp.1-9.</w:t>
      </w:r>
      <w:r>
        <w:rPr>
          <w:rFonts w:ascii="Calibri" w:cs="Times New Roman" w:eastAsia="Calibri" w:hAnsi="Calibri" w:hint="default"/>
          <w:b w:val="false"/>
          <w:bCs w:val="false"/>
          <w:i w:val="false"/>
          <w:iCs w:val="false"/>
          <w:color w:val="000000"/>
          <w:sz w:val="22"/>
          <w:szCs w:val="22"/>
          <w:highlight w:val="none"/>
          <w:vertAlign w:val="baseline"/>
          <w:em w:val="none"/>
          <w:lang w:val="en-GB" w:eastAsia="en-US"/>
        </w:rPr>
        <w:t xml:space="preserve"> </w:t>
      </w:r>
      <w:r>
        <w:rPr/>
        <w:fldChar w:fldCharType="begin"/>
      </w:r>
      <w:r>
        <w:instrText xml:space="preserve"> HYPERLINK "https://link.springer.com/article/10.1186/s12877-025-06340-7" </w:instrText>
      </w:r>
      <w:r>
        <w:rPr/>
        <w:fldChar w:fldCharType="separate"/>
      </w:r>
      <w:r>
        <w:rPr>
          <w:rStyle w:val="style85"/>
          <w:rFonts w:ascii="Calibri" w:cs="Times New Roman" w:eastAsia="Calibri" w:hAnsi="Calibri" w:hint="default"/>
          <w:b w:val="false"/>
          <w:bCs w:val="false"/>
          <w:i w:val="false"/>
          <w:iCs w:val="false"/>
          <w:color w:val="0563c1"/>
          <w:sz w:val="22"/>
          <w:szCs w:val="22"/>
          <w:highlight w:val="none"/>
          <w:u w:val="single" w:color="auto"/>
          <w:vertAlign w:val="baseline"/>
          <w:em w:val="none"/>
          <w:lang w:val="en-GB" w:eastAsia="en-US"/>
        </w:rPr>
        <w:t>https://link.springer.com/article/10.1186/s12877-025-06340-7</w:t>
      </w:r>
      <w:r>
        <w:rPr/>
        <w:fldChar w:fldCharType="end"/>
      </w:r>
    </w:p>
    <w:p>
      <w:pPr>
        <w:pStyle w:val="style0"/>
        <w:spacing w:lineRule="auto" w:line="240"/>
        <w:ind w:left="142" w:hanging="340"/>
        <w:jc w:val="left"/>
        <w:rPr>
          <w:color w:val="000000"/>
        </w:rPr>
      </w:pPr>
    </w:p>
    <w:p>
      <w:pPr>
        <w:pStyle w:val="style0"/>
        <w:spacing w:after="160" w:lineRule="auto" w:line="259"/>
        <w:jc w:val="left"/>
        <w:rPr>
          <w:color w:val="000000"/>
        </w:rPr>
      </w:pPr>
    </w:p>
    <w:p>
      <w:pPr>
        <w:pStyle w:val="style0"/>
        <w:spacing w:before="240"/>
        <w:rPr>
          <w:color w:val="000000"/>
        </w:rPr>
      </w:pPr>
    </w:p>
    <w:p>
      <w:pPr>
        <w:pStyle w:val="style0"/>
        <w:rPr>
          <w:color w:val="000000"/>
        </w:rPr>
      </w:pPr>
      <w:r>
        <w:rPr>
          <w:color w:val="000000"/>
        </w:rPr>
        <w:br w:type="page"/>
      </w:r>
    </w:p>
    <w:p>
      <w:pPr>
        <w:pStyle w:val="style4105"/>
        <w:numPr>
          <w:ilvl w:val="0"/>
          <w:numId w:val="0"/>
        </w:numPr>
        <w:spacing w:before="0" w:after="0"/>
        <w:ind w:left="142"/>
        <w:rPr>
          <w:rFonts w:cs="Arial"/>
          <w:b/>
          <w:bCs/>
          <w:i/>
          <w:iCs/>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p>
    <w:p>
      <w:pPr>
        <w:pStyle w:val="style0"/>
        <w:rPr>
          <w:rFonts w:ascii="Arial" w:cs="Arial" w:hAnsi="Arial"/>
          <w:sz w:val="20"/>
          <w:szCs w:val="20"/>
        </w:rPr>
      </w:pPr>
      <w:r>
        <w:rPr>
          <w:rFonts w:ascii="Arial" w:cs="Arial" w:hAnsi="Arial"/>
          <w:sz w:val="20"/>
          <w:szCs w:val="20"/>
        </w:rPr>
        <w:br w:type="page"/>
      </w:r>
    </w:p>
    <w:tbl>
      <w:tblPr>
        <w:tblW w:w="10679" w:type="dxa"/>
        <w:tblInd w:w="28"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bfbfbf"/>
        <w:tblCellMar>
          <w:top w:w="113" w:type="dxa"/>
          <w:left w:w="170" w:type="dxa"/>
          <w:bottom w:w="113" w:type="dxa"/>
          <w:right w:w="170" w:type="dxa"/>
        </w:tblCellMar>
        <w:tblLook w:val="04A0" w:firstRow="1" w:lastRow="0" w:firstColumn="1" w:lastColumn="0" w:noHBand="0" w:noVBand="1"/>
      </w:tblPr>
      <w:tblGrid>
        <w:gridCol w:w="568"/>
        <w:gridCol w:w="10111"/>
      </w:tblGrid>
      <w:tr>
        <w:trPr/>
        <w:tc>
          <w:tcPr>
            <w:tcW w:w="568" w:type="dxa"/>
            <w:tcBorders/>
            <w:shd w:val="clear" w:color="auto" w:fill="347789"/>
            <w:vAlign w:val="center"/>
          </w:tcPr>
          <w:p>
            <w:pPr>
              <w:pStyle w:val="style0"/>
              <w:spacing w:after="0" w:lineRule="auto" w:line="240"/>
              <w:jc w:val="center"/>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10111" w:type="dxa"/>
            <w:tcBorders/>
            <w:shd w:val="clear" w:color="auto" w:fill="347789"/>
            <w:vAlign w:val="center"/>
          </w:tcPr>
          <w:p>
            <w:pPr>
              <w:pStyle w:val="style4097"/>
              <w:rPr>
                <w:color w:val="ffffff"/>
              </w:rPr>
            </w:pPr>
            <w:r>
              <w:rPr>
                <w:color w:val="ffffff"/>
              </w:rPr>
              <w:t>BIBLIOGRAPHY</w:t>
            </w:r>
          </w:p>
        </w:tc>
      </w:tr>
    </w:tbl>
    <w:p>
      <w:pPr>
        <w:pStyle w:val="style0"/>
        <w:spacing w:before="240" w:lineRule="auto" w:line="360"/>
        <w:jc w:val="both"/>
        <w:rPr>
          <w:color w:val="000000"/>
        </w:rPr>
      </w:pPr>
      <w:r>
        <w:rPr>
          <w:rFonts w:cs="Arial"/>
          <w:b/>
          <w:bCs/>
          <w:i/>
          <w:iCs/>
        </w:rPr>
        <w:br/>
      </w:r>
      <w:r>
        <w:rPr>
          <w:color w:val="000000"/>
        </w:rPr>
        <w:t>Abugre, D. and Bhengu, B.R., 2024. Nurse managers' perceptions of patient‐centred care and its influence on quality nursing care and nurse job satisfaction: Empirical research qualitative. </w:t>
      </w:r>
      <w:r>
        <w:rPr>
          <w:i/>
          <w:iCs/>
          <w:color w:val="000000"/>
        </w:rPr>
        <w:t>Nursing Open</w:t>
      </w:r>
      <w:r>
        <w:rPr>
          <w:color w:val="000000"/>
        </w:rPr>
        <w:t>, </w:t>
      </w:r>
      <w:r>
        <w:rPr>
          <w:i/>
          <w:iCs/>
          <w:color w:val="000000"/>
        </w:rPr>
        <w:t>11</w:t>
      </w:r>
      <w:r>
        <w:rPr>
          <w:color w:val="000000"/>
        </w:rPr>
        <w:t xml:space="preserve">(1), p.e2071. </w:t>
      </w:r>
      <w:r>
        <w:rPr/>
        <w:fldChar w:fldCharType="begin"/>
      </w:r>
      <w:r>
        <w:instrText xml:space="preserve"> HYPERLINK "https://onlinelibrary.wiley.com/doi/abs/10.1002/nop2.2071" </w:instrText>
      </w:r>
      <w:r>
        <w:rPr/>
        <w:fldChar w:fldCharType="separate"/>
      </w:r>
      <w:r>
        <w:rPr>
          <w:rStyle w:val="style85"/>
        </w:rPr>
        <w:t>https://onlinelibrary.wiley.com/doi/abs/10.1002/nop2.2071</w:t>
      </w:r>
      <w:r>
        <w:rPr/>
        <w:fldChar w:fldCharType="end"/>
      </w:r>
    </w:p>
    <w:p>
      <w:pPr>
        <w:pStyle w:val="style0"/>
        <w:spacing w:before="240" w:lineRule="auto" w:line="360"/>
        <w:jc w:val="both"/>
        <w:rPr>
          <w:color w:val="000000"/>
        </w:rPr>
      </w:pPr>
      <w:r>
        <w:rPr>
          <w:color w:val="000000"/>
        </w:rPr>
        <w:t>Anker-Hansen, C., Olsen, L.B., Grøndahl, V.A., Helgesen, A.K., Bååth, C., Halvorsrud, L., Restad, G. and McCormack, B., 2025. The interplay of leadership dynamics and person-centred practice in nursing homes: a mixed methods systematic review. </w:t>
      </w:r>
      <w:r>
        <w:rPr>
          <w:i/>
          <w:iCs/>
          <w:color w:val="000000"/>
        </w:rPr>
        <w:t>Frontiers in Health Services</w:t>
      </w:r>
      <w:r>
        <w:rPr>
          <w:color w:val="000000"/>
        </w:rPr>
        <w:t>, </w:t>
      </w:r>
      <w:r>
        <w:rPr>
          <w:i/>
          <w:iCs/>
          <w:color w:val="000000"/>
        </w:rPr>
        <w:t>5</w:t>
      </w:r>
      <w:r>
        <w:rPr>
          <w:color w:val="000000"/>
        </w:rPr>
        <w:t xml:space="preserve">, p.1535414. </w:t>
      </w:r>
      <w:r>
        <w:rPr/>
        <w:fldChar w:fldCharType="begin"/>
      </w:r>
      <w:r>
        <w:instrText xml:space="preserve"> HYPERLINK "https://www.frontiersin.org/journals/health-services/articles/10.3389/frhs.2025.1535414/abstract" </w:instrText>
      </w:r>
      <w:r>
        <w:rPr/>
        <w:fldChar w:fldCharType="separate"/>
      </w:r>
      <w:r>
        <w:rPr>
          <w:rStyle w:val="style85"/>
        </w:rPr>
        <w:t>https://www.frontiersin.org/journals/health-services/articles/10.3389/frhs.2025.1535414/abstract</w:t>
      </w:r>
      <w:r>
        <w:rPr/>
        <w:fldChar w:fldCharType="end"/>
      </w:r>
    </w:p>
    <w:p>
      <w:pPr>
        <w:pStyle w:val="style0"/>
        <w:spacing w:before="240" w:lineRule="auto" w:line="360"/>
        <w:jc w:val="both"/>
        <w:rPr>
          <w:color w:val="000000"/>
        </w:rPr>
      </w:pPr>
      <w:r>
        <w:rPr>
          <w:color w:val="000000"/>
        </w:rPr>
        <w:t>Černe Kolarič, J., Plemenitaš Ilješ, A., Kraner, D., Gönc, V., Lorber, M., Mlinar Reljić, N., Fekonja, Z. and Kmetec, S., 2024, September. Long-term impact of community psychiatric care on quality of life amongst people living with schizophrenia: A systematic review. In </w:t>
      </w:r>
      <w:r>
        <w:rPr>
          <w:i/>
          <w:iCs/>
          <w:color w:val="000000"/>
        </w:rPr>
        <w:t>Healthcare</w:t>
      </w:r>
      <w:r>
        <w:rPr>
          <w:color w:val="000000"/>
        </w:rPr>
        <w:t> (Vol. 12, No. 17, p. 1750). MDPI. https://www.mdpi.com/2227-9032/12/17/1750</w:t>
      </w:r>
    </w:p>
    <w:p>
      <w:pPr>
        <w:pStyle w:val="style0"/>
        <w:spacing w:before="240" w:lineRule="auto" w:line="360"/>
        <w:jc w:val="both"/>
        <w:rPr>
          <w:color w:val="000000"/>
        </w:rPr>
      </w:pPr>
      <w:r>
        <w:rPr>
          <w:color w:val="000000"/>
        </w:rPr>
        <w:t>Lorber, M., Mlinar Reljić, N., McCormack, B. and Kmetec, S., 2025, June. Person-Centred Care in Association with Psychological Well-Being of Older Adults. In </w:t>
      </w:r>
      <w:r>
        <w:rPr>
          <w:i/>
          <w:iCs/>
          <w:color w:val="000000"/>
        </w:rPr>
        <w:t>Healthcare</w:t>
      </w:r>
      <w:r>
        <w:rPr>
          <w:color w:val="000000"/>
        </w:rPr>
        <w:t xml:space="preserve"> (Vol. 13, No. 12, p. 1379). MDPI. </w:t>
      </w:r>
      <w:r>
        <w:rPr/>
        <w:fldChar w:fldCharType="begin"/>
      </w:r>
      <w:r>
        <w:instrText xml:space="preserve"> HYPERLINK "https://www.mdpi.com/2227-9032/13/12/1379" </w:instrText>
      </w:r>
      <w:r>
        <w:rPr/>
        <w:fldChar w:fldCharType="separate"/>
      </w:r>
      <w:r>
        <w:rPr>
          <w:rStyle w:val="style85"/>
        </w:rPr>
        <w:t>https://www.mdpi.com/2227-9032/13/12/1379</w:t>
      </w:r>
      <w:r>
        <w:rPr/>
        <w:fldChar w:fldCharType="end"/>
      </w:r>
    </w:p>
    <w:p>
      <w:pPr>
        <w:pStyle w:val="style0"/>
        <w:spacing w:before="240" w:lineRule="auto" w:line="360"/>
        <w:jc w:val="both"/>
        <w:rPr>
          <w:color w:val="000000"/>
        </w:rPr>
      </w:pPr>
      <w:r>
        <w:rPr>
          <w:color w:val="000000"/>
        </w:rPr>
        <w:t>Xu, L., Olsson, A., Zhu, K., Zhou, Z. and Engström, M., 2025. Effects of a training program on person-centered care in nursing homes rated by residents: a quasi-experimental design. </w:t>
      </w:r>
      <w:r>
        <w:rPr>
          <w:i/>
          <w:iCs/>
          <w:color w:val="000000"/>
        </w:rPr>
        <w:t>BMC geriatrics</w:t>
      </w:r>
      <w:r>
        <w:rPr>
          <w:color w:val="000000"/>
        </w:rPr>
        <w:t>, </w:t>
      </w:r>
      <w:r>
        <w:rPr>
          <w:i/>
          <w:iCs/>
          <w:color w:val="000000"/>
        </w:rPr>
        <w:t>25</w:t>
      </w:r>
      <w:r>
        <w:rPr>
          <w:color w:val="000000"/>
        </w:rPr>
        <w:t xml:space="preserve">(1), pp.1-9. </w:t>
      </w:r>
      <w:r>
        <w:rPr/>
        <w:fldChar w:fldCharType="begin"/>
      </w:r>
      <w:r>
        <w:instrText xml:space="preserve"> HYPERLINK "https://link.springer.com/article/10.1186/s12877-025-06340-7" </w:instrText>
      </w:r>
      <w:r>
        <w:rPr/>
        <w:fldChar w:fldCharType="separate"/>
      </w:r>
      <w:r>
        <w:rPr>
          <w:rStyle w:val="style85"/>
        </w:rPr>
        <w:t>https://link.springer.com/article/10.1186/s12877-025-06340-7</w:t>
      </w:r>
      <w:r>
        <w:rPr/>
        <w:fldChar w:fldCharType="end"/>
      </w:r>
    </w:p>
    <w:p>
      <w:pPr>
        <w:pStyle w:val="style4105"/>
        <w:numPr>
          <w:ilvl w:val="0"/>
          <w:numId w:val="0"/>
        </w:numPr>
        <w:spacing w:before="0" w:after="0"/>
        <w:ind w:left="142"/>
        <w:rPr>
          <w:rFonts w:cs="Arial"/>
          <w:b/>
          <w:bCs/>
          <w:i/>
          <w:iCs/>
        </w:rPr>
      </w:pPr>
    </w:p>
    <w:p>
      <w:pPr>
        <w:pStyle w:val="style0"/>
        <w:rPr>
          <w:rFonts w:ascii="Arial" w:cs="Arial" w:hAnsi="Arial"/>
        </w:rPr>
      </w:pPr>
    </w:p>
    <w:p>
      <w:pPr>
        <w:pStyle w:val="style0"/>
        <w:rPr>
          <w:rFonts w:ascii="Arial" w:cs="Arial" w:hAnsi="Arial"/>
        </w:rPr>
      </w:pPr>
    </w:p>
    <w:p>
      <w:pPr>
        <w:pStyle w:val="style0"/>
        <w:rPr>
          <w:rFonts w:ascii="Arial" w:cs="Arial" w:hAnsi="Arial"/>
        </w:rPr>
      </w:pPr>
    </w:p>
    <w:p>
      <w:pPr>
        <w:pStyle w:val="style0"/>
        <w:rPr>
          <w:rFonts w:ascii="Arial" w:cs="Arial" w:hAnsi="Arial"/>
        </w:rPr>
      </w:pPr>
    </w:p>
    <w:p>
      <w:pPr>
        <w:pStyle w:val="style0"/>
        <w:rPr>
          <w:rFonts w:ascii="Arial" w:cs="Arial" w:hAnsi="Arial"/>
        </w:rPr>
      </w:pPr>
    </w:p>
    <w:p>
      <w:pPr>
        <w:pStyle w:val="style0"/>
        <w:rPr>
          <w:rFonts w:ascii="Arial" w:cs="Arial" w:hAnsi="Arial"/>
        </w:rPr>
      </w:pPr>
    </w:p>
    <w:p>
      <w:pPr>
        <w:pStyle w:val="style0"/>
        <w:rPr>
          <w:rFonts w:ascii="Arial" w:cs="Arial" w:hAnsi="Arial"/>
        </w:rPr>
      </w:pPr>
      <w:r>
        <w:rPr>
          <w:rFonts w:ascii="Arial" w:cs="Arial" w:hAnsi="Arial"/>
        </w:rPr>
        <w:br w:type="page"/>
      </w:r>
    </w:p>
    <w:p>
      <w:pPr>
        <w:pStyle w:val="style0"/>
        <w:rPr/>
        <w:sectPr>
          <w:footerReference w:type="default" r:id="rId3"/>
          <w:pgSz w:w="11906" w:h="16838" w:orient="portrait"/>
          <w:pgMar w:top="851" w:right="851" w:bottom="1702" w:left="851" w:header="709" w:footer="709" w:gutter="0"/>
          <w:cols w:space="708"/>
          <w:docGrid w:linePitch="360"/>
        </w:sectPr>
      </w:pPr>
    </w:p>
    <w:bookmarkStart w:id="12" w:name="_Hlk107924858"/>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780"/>
        <w:gridCol w:w="296"/>
        <w:gridCol w:w="1827"/>
        <w:gridCol w:w="200"/>
        <w:gridCol w:w="1627"/>
        <w:gridCol w:w="358"/>
        <w:gridCol w:w="5670"/>
      </w:tblGrid>
      <w:tr>
        <w:trPr/>
        <w:tc>
          <w:tcPr>
            <w:tcW w:w="5185" w:type="dxa"/>
            <w:gridSpan w:val="2"/>
            <w:tcBorders>
              <w:top w:val="single" w:sz="4" w:space="0" w:color="auto"/>
              <w:left w:val="single" w:sz="4" w:space="0" w:color="auto"/>
              <w:bottom w:val="single" w:sz="4" w:space="0" w:color="auto"/>
              <w:right w:val="single" w:sz="4" w:space="0" w:color="auto"/>
            </w:tcBorders>
            <w:hideMark/>
          </w:tcPr>
          <w:p>
            <w:pPr>
              <w:pStyle w:val="style4102"/>
              <w:rPr>
                <w:rFonts w:cs="Arial"/>
              </w:rPr>
            </w:pPr>
            <w:r>
              <w:rPr>
                <w:rFonts w:cs="Arial"/>
              </w:rPr>
              <w:t>TO BE COMPLETED BY THE</w:t>
            </w:r>
            <w:r>
              <w:rPr>
                <w:rFonts w:cs="Arial"/>
              </w:rPr>
              <w:t xml:space="preserve"> </w:t>
            </w:r>
            <w:r>
              <w:rPr>
                <w:rFonts w:cs="Arial"/>
              </w:rPr>
              <w:t>ASSESSOR</w:t>
            </w:r>
          </w:p>
        </w:tc>
        <w:tc>
          <w:tcPr>
            <w:tcW w:w="296" w:type="dxa"/>
            <w:tcBorders>
              <w:top w:val="nil"/>
              <w:left w:val="single" w:sz="4" w:space="0" w:color="auto"/>
              <w:bottom w:val="single" w:sz="4" w:space="0" w:color="auto"/>
              <w:right w:val="nil"/>
            </w:tcBorders>
          </w:tcPr>
          <w:p>
            <w:pPr>
              <w:pStyle w:val="style4102"/>
              <w:rPr>
                <w:rFonts w:cs="Arial"/>
              </w:rPr>
            </w:pPr>
          </w:p>
        </w:tc>
        <w:tc>
          <w:tcPr>
            <w:tcW w:w="1827" w:type="dxa"/>
            <w:tcBorders>
              <w:top w:val="nil"/>
              <w:left w:val="nil"/>
              <w:bottom w:val="single" w:sz="4" w:space="0" w:color="auto"/>
              <w:right w:val="nil"/>
            </w:tcBorders>
          </w:tcPr>
          <w:p>
            <w:pPr>
              <w:pStyle w:val="style4101"/>
              <w:rPr>
                <w:rFonts w:cs="Arial"/>
              </w:rPr>
            </w:pPr>
          </w:p>
        </w:tc>
        <w:tc>
          <w:tcPr>
            <w:tcW w:w="1827" w:type="dxa"/>
            <w:gridSpan w:val="2"/>
            <w:tcBorders>
              <w:top w:val="nil"/>
              <w:left w:val="nil"/>
              <w:bottom w:val="single" w:sz="4" w:space="0" w:color="auto"/>
              <w:right w:val="nil"/>
            </w:tcBorders>
          </w:tcPr>
          <w:p>
            <w:pPr>
              <w:pStyle w:val="style4102"/>
              <w:rPr>
                <w:rFonts w:cs="Arial"/>
              </w:rPr>
            </w:pPr>
          </w:p>
        </w:tc>
        <w:tc>
          <w:tcPr>
            <w:tcW w:w="6028" w:type="dxa"/>
            <w:gridSpan w:val="2"/>
            <w:tcBorders>
              <w:top w:val="nil"/>
              <w:left w:val="nil"/>
              <w:bottom w:val="single" w:sz="4" w:space="0" w:color="auto"/>
              <w:right w:val="nil"/>
            </w:tcBorders>
          </w:tcPr>
          <w:p>
            <w:pPr>
              <w:pStyle w:val="style4101"/>
              <w:rPr>
                <w:rFonts w:cs="Arial"/>
              </w:rPr>
            </w:pPr>
          </w:p>
        </w:tc>
      </w:tr>
      <w:tr>
        <w:tblPrEx/>
        <w:trPr/>
        <w:tc>
          <w:tcPr>
            <w:tcW w:w="2405" w:type="dxa"/>
            <w:tcBorders>
              <w:top w:val="single" w:sz="4" w:space="0" w:color="auto"/>
              <w:left w:val="single" w:sz="4" w:space="0" w:color="auto"/>
              <w:bottom w:val="single" w:sz="4" w:space="0" w:color="auto"/>
              <w:right w:val="single" w:sz="4" w:space="0" w:color="auto"/>
            </w:tcBorders>
          </w:tcPr>
          <w:p>
            <w:pPr>
              <w:pStyle w:val="style4102"/>
              <w:rPr>
                <w:rFonts w:cs="Arial"/>
              </w:rPr>
            </w:pPr>
            <w:r>
              <w:rPr>
                <w:rFonts w:cs="Arial"/>
              </w:rPr>
              <w:t xml:space="preserve">Centre name </w:t>
            </w:r>
          </w:p>
        </w:tc>
        <w:tc>
          <w:tcPr>
            <w:tcW w:w="5103" w:type="dxa"/>
            <w:gridSpan w:val="4"/>
            <w:tcBorders>
              <w:top w:val="single" w:sz="4" w:space="0" w:color="auto"/>
              <w:left w:val="single" w:sz="4" w:space="0" w:color="auto"/>
              <w:bottom w:val="single" w:sz="4" w:space="0" w:color="auto"/>
              <w:right w:val="single" w:sz="4" w:space="0" w:color="auto"/>
            </w:tcBorders>
          </w:tcPr>
          <w:p>
            <w:pPr>
              <w:pStyle w:val="style4101"/>
              <w:tabs>
                <w:tab w:val="left" w:leader="none" w:pos="1027"/>
              </w:tabs>
              <w:rPr>
                <w:rFonts w:cs="Arial"/>
              </w:rPr>
            </w:pPr>
            <w:r>
              <w:rPr>
                <w:rFonts w:cs="Arial"/>
              </w:rPr>
              <w:t>MOL</w:t>
            </w:r>
          </w:p>
        </w:tc>
        <w:tc>
          <w:tcPr>
            <w:tcW w:w="1985" w:type="dxa"/>
            <w:gridSpan w:val="2"/>
            <w:tcBorders>
              <w:top w:val="single" w:sz="4" w:space="0" w:color="auto"/>
              <w:left w:val="single" w:sz="4" w:space="0" w:color="auto"/>
              <w:bottom w:val="single" w:sz="4" w:space="0" w:color="auto"/>
              <w:right w:val="single" w:sz="4" w:space="0" w:color="auto"/>
            </w:tcBorders>
          </w:tcPr>
          <w:p>
            <w:pPr>
              <w:pStyle w:val="style4102"/>
              <w:rPr>
                <w:rFonts w:cs="Arial"/>
              </w:rPr>
            </w:pPr>
            <w:r>
              <w:rPr>
                <w:rFonts w:cs="Arial"/>
              </w:rPr>
              <w:t>Centre number</w:t>
            </w:r>
          </w:p>
        </w:tc>
        <w:tc>
          <w:tcPr>
            <w:tcW w:w="5670" w:type="dxa"/>
            <w:tcBorders>
              <w:top w:val="single" w:sz="4" w:space="0" w:color="auto"/>
              <w:left w:val="single" w:sz="4" w:space="0" w:color="auto"/>
              <w:bottom w:val="single" w:sz="4" w:space="0" w:color="auto"/>
              <w:right w:val="single" w:sz="4" w:space="0" w:color="auto"/>
            </w:tcBorders>
          </w:tcPr>
          <w:p>
            <w:pPr>
              <w:pStyle w:val="style4101"/>
              <w:rPr>
                <w:rFonts w:cs="Arial"/>
              </w:rPr>
            </w:pPr>
            <w:r>
              <w:rPr>
                <w:rFonts w:cs="Arial"/>
              </w:rPr>
              <w:t>531</w:t>
            </w:r>
          </w:p>
        </w:tc>
      </w:tr>
      <w:tr>
        <w:tblPrEx/>
        <w:trPr/>
        <w:tc>
          <w:tcPr>
            <w:tcW w:w="2405" w:type="dxa"/>
            <w:tcBorders>
              <w:top w:val="single" w:sz="4" w:space="0" w:color="auto"/>
              <w:left w:val="single" w:sz="4" w:space="0" w:color="auto"/>
              <w:bottom w:val="single" w:sz="4" w:space="0" w:color="auto"/>
              <w:right w:val="single" w:sz="4" w:space="0" w:color="auto"/>
            </w:tcBorders>
            <w:hideMark/>
          </w:tcPr>
          <w:p>
            <w:pPr>
              <w:pStyle w:val="style4102"/>
              <w:rPr>
                <w:rFonts w:cs="Arial"/>
              </w:rPr>
            </w:pPr>
            <w:r>
              <w:rPr>
                <w:rFonts w:cs="Arial"/>
              </w:rPr>
              <w:t xml:space="preserve">Learner </w:t>
            </w:r>
            <w:r>
              <w:rPr>
                <w:rFonts w:cs="Arial"/>
              </w:rPr>
              <w:t>name</w:t>
            </w:r>
          </w:p>
        </w:tc>
        <w:tc>
          <w:tcPr>
            <w:tcW w:w="12758" w:type="dxa"/>
            <w:gridSpan w:val="7"/>
            <w:tcBorders>
              <w:top w:val="single" w:sz="4" w:space="0" w:color="auto"/>
              <w:left w:val="single" w:sz="4" w:space="0" w:color="auto"/>
              <w:bottom w:val="single" w:sz="4" w:space="0" w:color="auto"/>
              <w:right w:val="single" w:sz="4" w:space="0" w:color="auto"/>
            </w:tcBorders>
          </w:tcPr>
          <w:p>
            <w:pPr>
              <w:pStyle w:val="style4101"/>
              <w:rPr>
                <w:rFonts w:cs="Arial"/>
              </w:rPr>
            </w:pPr>
            <w:r>
              <w:rPr>
                <w:rFonts w:cs="Arial"/>
              </w:rPr>
              <w:t>Noura Alqahtani</w:t>
            </w:r>
          </w:p>
        </w:tc>
      </w:tr>
      <w:tr>
        <w:tblPrEx/>
        <w:trPr/>
        <w:tc>
          <w:tcPr>
            <w:tcW w:w="2405" w:type="dxa"/>
            <w:tcBorders>
              <w:top w:val="single" w:sz="4" w:space="0" w:color="auto"/>
              <w:left w:val="single" w:sz="4" w:space="0" w:color="auto"/>
              <w:bottom w:val="single" w:sz="4" w:space="0" w:color="auto"/>
              <w:right w:val="single" w:sz="4" w:space="0" w:color="auto"/>
            </w:tcBorders>
          </w:tcPr>
          <w:p>
            <w:pPr>
              <w:pStyle w:val="style4102"/>
              <w:rPr>
                <w:rFonts w:cs="Arial"/>
              </w:rPr>
            </w:pPr>
            <w:r>
              <w:rPr>
                <w:rFonts w:cs="Arial"/>
              </w:rPr>
              <w:t>Membership number</w:t>
            </w:r>
          </w:p>
        </w:tc>
        <w:tc>
          <w:tcPr>
            <w:tcW w:w="12758" w:type="dxa"/>
            <w:gridSpan w:val="7"/>
            <w:tcBorders>
              <w:top w:val="single" w:sz="4" w:space="0" w:color="auto"/>
              <w:left w:val="single" w:sz="4" w:space="0" w:color="auto"/>
              <w:bottom w:val="single" w:sz="4" w:space="0" w:color="auto"/>
              <w:right w:val="single" w:sz="4" w:space="0" w:color="auto"/>
            </w:tcBorders>
          </w:tcPr>
          <w:p>
            <w:pPr>
              <w:pStyle w:val="style4101"/>
              <w:rPr>
                <w:rFonts w:cs="Arial"/>
                <w:b/>
              </w:rPr>
            </w:pPr>
            <w:r>
              <w:rPr>
                <w:rFonts w:cs="Arial" w:eastAsia="Arial"/>
                <w:color w:val="000000"/>
                <w:szCs w:val="20"/>
              </w:rPr>
              <w:t>89341248</w:t>
            </w:r>
          </w:p>
        </w:tc>
      </w:tr>
      <w:bookmarkEnd w:id="12"/>
    </w:tbl>
    <w:p>
      <w:pPr>
        <w:pStyle w:val="style4099"/>
        <w:rPr>
          <w:rFonts w:ascii="Arial" w:cs="Arial" w:hAnsi="Arial"/>
        </w:rPr>
      </w:pPr>
    </w:p>
    <w:p>
      <w:pPr>
        <w:pStyle w:val="style4099"/>
        <w:rPr>
          <w:rFonts w:ascii="Arial" w:cs="Arial" w:hAnsi="Arial"/>
        </w:rPr>
      </w:pPr>
    </w:p>
    <w:tbl>
      <w:tblPr>
        <w:tblW w:w="15135" w:type="dxa"/>
        <w:tblInd w:w="2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bfbfbf"/>
        <w:tblCellMar>
          <w:top w:w="113" w:type="dxa"/>
          <w:left w:w="170" w:type="dxa"/>
          <w:bottom w:w="113" w:type="dxa"/>
          <w:right w:w="170" w:type="dxa"/>
        </w:tblCellMar>
        <w:tblLook w:val="04A0" w:firstRow="1" w:lastRow="0" w:firstColumn="1" w:lastColumn="0" w:noHBand="0" w:noVBand="1"/>
      </w:tblPr>
      <w:tblGrid>
        <w:gridCol w:w="596"/>
        <w:gridCol w:w="14539"/>
      </w:tblGrid>
      <w:tr>
        <w:trPr/>
        <w:tc>
          <w:tcPr>
            <w:tcW w:w="596" w:type="dxa"/>
            <w:tcBorders/>
            <w:shd w:val="clear" w:color="auto" w:fill="347789"/>
            <w:vAlign w:val="center"/>
          </w:tcPr>
          <w:p>
            <w:pPr>
              <w:pStyle w:val="style0"/>
              <w:spacing w:after="0" w:lineRule="auto" w:line="240"/>
              <w:jc w:val="center"/>
              <w:rPr>
                <w:rFonts w:ascii="Arial" w:cs="Arial" w:eastAsia="Times New Roman" w:hAnsi="Arial"/>
                <w:b/>
                <w:color w:val="ffffff"/>
                <w:sz w:val="24"/>
                <w:szCs w:val="24"/>
                <w:lang w:eastAsia="en-GB"/>
              </w:rPr>
            </w:pP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14539" w:type="dxa"/>
            <w:tcBorders/>
            <w:shd w:val="clear" w:color="auto" w:fill="347789"/>
            <w:vAlign w:val="center"/>
          </w:tcPr>
          <w:p>
            <w:pPr>
              <w:pStyle w:val="style4097"/>
              <w:rPr>
                <w:color w:val="ffffff"/>
              </w:rPr>
            </w:pPr>
            <w:r>
              <w:rPr>
                <w:color w:val="ffffff"/>
              </w:rPr>
              <w:t>Assessment marksheet</w:t>
            </w:r>
          </w:p>
        </w:tc>
      </w:tr>
    </w:tbl>
    <w:p>
      <w:pPr>
        <w:pStyle w:val="style4099"/>
        <w:rPr>
          <w:rFonts w:ascii="Arial" w:cs="Arial" w:hAnsi="Arial"/>
        </w:rPr>
      </w:pPr>
    </w:p>
    <w:p>
      <w:pPr>
        <w:pStyle w:val="style4099"/>
        <w:rPr>
          <w:rFonts w:ascii="Arial" w:cs="Arial" w:hAnsi="Arial"/>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trPr/>
        <w:tc>
          <w:tcPr>
            <w:tcW w:w="15163" w:type="dxa"/>
            <w:tcBorders>
              <w:top w:val="single" w:sz="4" w:space="0" w:color="auto"/>
              <w:left w:val="single" w:sz="4" w:space="0" w:color="auto"/>
              <w:bottom w:val="single" w:sz="4" w:space="0" w:color="auto"/>
              <w:right w:val="single" w:sz="4" w:space="0" w:color="auto"/>
            </w:tcBorders>
            <w:hideMark/>
          </w:tcPr>
          <w:p>
            <w:pPr>
              <w:pStyle w:val="style4103"/>
              <w:rPr/>
            </w:pPr>
            <w:r>
              <w:rPr>
                <w:rFonts w:cs="Arial" w:eastAsia="Times New Roman"/>
                <w:b/>
                <w:szCs w:val="20"/>
              </w:rPr>
              <w:t xml:space="preserve">LO1 </w:t>
            </w:r>
            <w:r>
              <w:t>Understand the connections between organisational structure, strategy and the business operating environment.</w:t>
            </w:r>
          </w:p>
          <w:p>
            <w:pPr>
              <w:pStyle w:val="style4103"/>
              <w:rPr/>
            </w:pPr>
            <w:r>
              <w:rPr>
                <w:rFonts w:cs="Arial" w:eastAsia="Times New Roman"/>
                <w:b/>
                <w:szCs w:val="20"/>
              </w:rPr>
              <w:t xml:space="preserve">LO2 </w:t>
            </w:r>
            <w:r>
              <w:t>Understand organisational culture and theoretical perspectives on how people behave at work</w:t>
            </w:r>
            <w:r>
              <w:t>.</w:t>
            </w:r>
          </w:p>
          <w:p>
            <w:pPr>
              <w:pStyle w:val="style4103"/>
              <w:rPr>
                <w:rFonts w:cs="Arial" w:eastAsia="Times New Roman"/>
                <w:color w:val="3a3a3a"/>
                <w:szCs w:val="20"/>
                <w:lang w:eastAsia="en-GB"/>
              </w:rPr>
            </w:pPr>
            <w:r>
              <w:rPr>
                <w:rFonts w:cs="Arial" w:eastAsia="Times New Roman"/>
                <w:b/>
                <w:szCs w:val="20"/>
              </w:rPr>
              <w:t>LO3</w:t>
            </w:r>
            <w:r>
              <w:rPr>
                <w:rFonts w:cs="Arial" w:eastAsia="Times New Roman"/>
                <w:bCs/>
                <w:szCs w:val="20"/>
              </w:rPr>
              <w:t xml:space="preserve"> </w:t>
            </w:r>
            <w:r>
              <w:t>Understand how people practice supports the achievement of business goals and objectives</w:t>
            </w:r>
            <w:r>
              <w:t>.</w:t>
            </w:r>
          </w:p>
        </w:tc>
      </w:tr>
    </w:tbl>
    <w:p>
      <w:pPr>
        <w:pStyle w:val="style4099"/>
        <w:rPr>
          <w:rFonts w:ascii="Arial" w:cs="Arial" w:hAnsi="Arial"/>
        </w:rPr>
      </w:pPr>
    </w:p>
    <w:p>
      <w:pPr>
        <w:pStyle w:val="style4099"/>
        <w:rPr>
          <w:rFonts w:ascii="Arial" w:cs="Arial" w:hAnsi="Arial"/>
          <w:sz w:val="20"/>
          <w:szCs w:val="20"/>
        </w:rPr>
      </w:pPr>
    </w:p>
    <w:p>
      <w:pPr>
        <w:pStyle w:val="style4099"/>
        <w:rPr>
          <w:rFonts w:ascii="Arial" w:cs="Arial" w:hAnsi="Arial"/>
          <w:sz w:val="22"/>
        </w:rPr>
      </w:pPr>
      <w:r>
        <w:rPr>
          <w:rFonts w:ascii="Arial" w:cs="Arial" w:hAnsi="Arial"/>
          <w:b/>
          <w:bCs/>
          <w:sz w:val="22"/>
        </w:rPr>
        <w:t>Note to Assessor</w:t>
      </w:r>
      <w:r>
        <w:rPr>
          <w:rFonts w:ascii="Arial" w:cs="Arial" w:hAnsi="Arial"/>
          <w:b/>
          <w:bCs/>
          <w:sz w:val="22"/>
        </w:rPr>
        <w:t xml:space="preserve">: </w:t>
      </w:r>
      <w:r>
        <w:rPr>
          <w:rFonts w:ascii="Arial" w:cs="Arial" w:hAnsi="Arial"/>
          <w:sz w:val="22"/>
        </w:rPr>
        <w:t xml:space="preserve">Please enter a </w:t>
      </w:r>
      <w:r>
        <w:rPr>
          <w:rFonts w:ascii="Arial" w:cs="Arial" w:hAnsi="Arial"/>
          <w:b/>
          <w:bCs/>
          <w:sz w:val="22"/>
        </w:rPr>
        <w:t>mark</w:t>
      </w:r>
      <w:r>
        <w:rPr>
          <w:rFonts w:ascii="Arial" w:cs="Arial" w:hAnsi="Arial"/>
          <w:sz w:val="22"/>
        </w:rPr>
        <w:t xml:space="preserve"> for each AC. You need only provide </w:t>
      </w:r>
      <w:r>
        <w:rPr>
          <w:rFonts w:ascii="Arial" w:cs="Arial" w:hAnsi="Arial"/>
          <w:b/>
          <w:bCs/>
          <w:sz w:val="22"/>
        </w:rPr>
        <w:t xml:space="preserve">feedback </w:t>
      </w:r>
      <w:r>
        <w:rPr>
          <w:rFonts w:ascii="Arial" w:cs="Arial" w:hAnsi="Arial"/>
          <w:sz w:val="22"/>
        </w:rPr>
        <w:t xml:space="preserve">where you have awarded a mark of </w:t>
      </w:r>
      <w:r>
        <w:rPr>
          <w:rFonts w:ascii="Arial" w:cs="Arial" w:hAnsi="Arial"/>
          <w:b/>
          <w:bCs/>
          <w:sz w:val="22"/>
        </w:rPr>
        <w:t>1</w:t>
      </w:r>
      <w:r>
        <w:rPr>
          <w:rFonts w:ascii="Arial" w:cs="Arial" w:hAnsi="Arial"/>
          <w:sz w:val="22"/>
        </w:rPr>
        <w:t xml:space="preserve">. This feedback </w:t>
      </w:r>
      <w:r>
        <w:rPr>
          <w:rFonts w:ascii="Arial" w:cs="Arial" w:hAnsi="Arial"/>
          <w:sz w:val="22"/>
        </w:rPr>
        <w:t>must</w:t>
      </w:r>
      <w:r>
        <w:rPr>
          <w:rFonts w:ascii="Arial" w:cs="Arial" w:hAnsi="Arial"/>
          <w:sz w:val="22"/>
        </w:rPr>
        <w:t xml:space="preserve"> be developmental.</w:t>
      </w:r>
      <w:r>
        <w:rPr>
          <w:rFonts w:ascii="Arial" w:cs="Arial" w:hAnsi="Arial"/>
          <w:sz w:val="22"/>
        </w:rPr>
        <w:t xml:space="preserve"> Where a learner has received a refer against an AC, on resubmission you can only allocate a maximum mark of a 2 against that AC if successfully achieved and an overall Low Pass grade. </w:t>
      </w:r>
    </w:p>
    <w:p>
      <w:pPr>
        <w:pStyle w:val="style4099"/>
        <w:rPr>
          <w:rFonts w:ascii="Arial" w:cs="Arial" w:hAnsi="Arial"/>
        </w:rPr>
      </w:pPr>
    </w:p>
    <w:tbl>
      <w:tblPr>
        <w:tblW w:w="15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9"/>
        <w:gridCol w:w="5387"/>
        <w:gridCol w:w="6237"/>
        <w:gridCol w:w="2410"/>
      </w:tblGrid>
      <w:tr>
        <w:trPr/>
        <w:tc>
          <w:tcPr>
            <w:tcW w:w="15153" w:type="dxa"/>
            <w:gridSpan w:val="4"/>
            <w:tcBorders>
              <w:top w:val="single" w:sz="12" w:space="0" w:color="auto"/>
              <w:left w:val="single" w:sz="12" w:space="0" w:color="auto"/>
              <w:bottom w:val="single" w:sz="12" w:space="0" w:color="auto"/>
              <w:right w:val="single" w:sz="12" w:space="0" w:color="auto"/>
            </w:tcBorders>
          </w:tcPr>
          <w:p>
            <w:pPr>
              <w:pStyle w:val="style4102"/>
              <w:rPr>
                <w:rFonts w:cs="Arial"/>
                <w:szCs w:val="20"/>
              </w:rPr>
            </w:pPr>
            <w:r>
              <w:rPr>
                <w:rFonts w:cs="Arial"/>
                <w:szCs w:val="20"/>
              </w:rPr>
              <w:t>Task 1</w:t>
            </w:r>
          </w:p>
        </w:tc>
      </w:tr>
      <w:bookmarkStart w:id="13" w:name="_Hlk116479225"/>
      <w:tr>
        <w:tblPrEx/>
        <w:trPr>
          <w:trHeight w:val="542" w:hRule="atLeast"/>
        </w:trPr>
        <w:tc>
          <w:tcPr>
            <w:tcW w:w="6506" w:type="dxa"/>
            <w:gridSpan w:val="2"/>
            <w:tcBorders>
              <w:top w:val="single" w:sz="12" w:space="0" w:color="auto"/>
              <w:left w:val="single" w:sz="12" w:space="0" w:color="auto"/>
              <w:bottom w:val="single" w:sz="12" w:space="0" w:color="auto"/>
              <w:right w:val="single" w:sz="2" w:space="0" w:color="auto"/>
            </w:tcBorders>
          </w:tcPr>
          <w:p>
            <w:pPr>
              <w:pStyle w:val="style4102"/>
              <w:jc w:val="center"/>
              <w:rPr>
                <w:rFonts w:cs="Arial"/>
                <w:szCs w:val="20"/>
              </w:rPr>
            </w:pPr>
            <w:r>
              <w:rPr>
                <w:rFonts w:cs="Arial"/>
                <w:szCs w:val="20"/>
              </w:rPr>
              <w:t>Questions</w:t>
            </w:r>
          </w:p>
        </w:tc>
        <w:tc>
          <w:tcPr>
            <w:tcW w:w="6237" w:type="dxa"/>
            <w:tcBorders>
              <w:top w:val="single" w:sz="12" w:space="0" w:color="auto"/>
              <w:left w:val="single" w:sz="2" w:space="0" w:color="auto"/>
              <w:bottom w:val="single" w:sz="12" w:space="0" w:color="auto"/>
              <w:right w:val="single" w:sz="2" w:space="0" w:color="auto"/>
            </w:tcBorders>
          </w:tcPr>
          <w:p>
            <w:pPr>
              <w:pStyle w:val="style4102"/>
              <w:jc w:val="center"/>
              <w:rPr>
                <w:rFonts w:cs="Arial"/>
                <w:szCs w:val="20"/>
              </w:rPr>
            </w:pPr>
            <w:r>
              <w:rPr>
                <w:rFonts w:cs="Arial"/>
              </w:rPr>
              <w:t>Assessor Feedback</w:t>
            </w:r>
          </w:p>
        </w:tc>
        <w:tc>
          <w:tcPr>
            <w:tcW w:w="2410" w:type="dxa"/>
            <w:tcBorders>
              <w:top w:val="single" w:sz="12" w:space="0" w:color="auto"/>
              <w:left w:val="single" w:sz="2" w:space="0" w:color="auto"/>
              <w:bottom w:val="single" w:sz="12" w:space="0" w:color="auto"/>
              <w:right w:val="single" w:sz="12" w:space="0" w:color="auto"/>
            </w:tcBorders>
          </w:tcPr>
          <w:p>
            <w:pPr>
              <w:pStyle w:val="style4102"/>
              <w:jc w:val="center"/>
              <w:rPr>
                <w:rFonts w:cs="Arial"/>
                <w:szCs w:val="20"/>
              </w:rPr>
            </w:pPr>
            <w:r>
              <w:rPr>
                <w:rFonts w:cs="Arial"/>
                <w:szCs w:val="20"/>
              </w:rPr>
              <w:t>Mark 1-4</w:t>
            </w:r>
          </w:p>
        </w:tc>
      </w:tr>
      <w:tr>
        <w:tblPrEx/>
        <w:trPr>
          <w:trHeight w:val="820" w:hRule="atLeast"/>
        </w:trPr>
        <w:tc>
          <w:tcPr>
            <w:tcW w:w="1119" w:type="dxa"/>
            <w:tcBorders>
              <w:top w:val="single" w:sz="12" w:space="0" w:color="auto"/>
              <w:left w:val="single" w:sz="12" w:space="0" w:color="auto"/>
            </w:tcBorders>
          </w:tcPr>
          <w:p>
            <w:pPr>
              <w:pStyle w:val="style4108"/>
              <w:rPr>
                <w:szCs w:val="20"/>
              </w:rPr>
            </w:pPr>
            <w:r>
              <w:rPr>
                <w:szCs w:val="20"/>
              </w:rPr>
              <w:t>Q1</w:t>
            </w:r>
          </w:p>
        </w:tc>
        <w:tc>
          <w:tcPr>
            <w:tcW w:w="5387" w:type="dxa"/>
            <w:tcBorders>
              <w:top w:val="single" w:sz="12" w:space="0" w:color="auto"/>
            </w:tcBorders>
          </w:tcPr>
          <w:p>
            <w:pPr>
              <w:pStyle w:val="style4102"/>
              <w:rPr>
                <w:b w:val="false"/>
                <w:bCs/>
              </w:rPr>
            </w:pPr>
            <w:r>
              <w:rPr>
                <w:b w:val="false"/>
                <w:bCs/>
              </w:rPr>
              <w:t>Evaluate the extent to which the flat non-hierarchical structure was appropriate under Kirsten’s ownership and the extent to which the hierarchical bureaucratic structure is suitable under Chaffinch Group’s ownership.  (AC 1.1)</w:t>
            </w:r>
          </w:p>
        </w:tc>
        <w:tc>
          <w:tcPr>
            <w:tcW w:w="6237" w:type="dxa"/>
            <w:tcBorders>
              <w:top w:val="single" w:sz="12" w:space="0" w:color="auto"/>
            </w:tcBorders>
          </w:tcPr>
          <w:p>
            <w:pPr>
              <w:pStyle w:val="style4101"/>
              <w:rPr>
                <w:rFonts w:ascii="Trebuchet MS" w:cs="Arial" w:hAnsi="Trebuchet MS"/>
                <w:sz w:val="22"/>
              </w:rPr>
            </w:pPr>
            <w:r>
              <w:rPr>
                <w:rFonts w:ascii="Trebuchet MS" w:cs="Arial" w:hAnsi="Trebuchet MS"/>
                <w:sz w:val="22"/>
              </w:rPr>
              <w:t>Noura</w:t>
            </w:r>
            <w:r>
              <w:rPr>
                <w:rFonts w:ascii="Trebuchet MS" w:cs="Arial" w:hAnsi="Trebuchet MS"/>
                <w:sz w:val="22"/>
              </w:rPr>
              <w:t xml:space="preserve">, well done so far. You have provided a sufficient evaluation of a hierarchical structure </w:t>
            </w:r>
            <w:r>
              <w:rPr>
                <w:rFonts w:ascii="Trebuchet MS" w:cs="Arial" w:hAnsi="Trebuchet MS"/>
                <w:sz w:val="22"/>
              </w:rPr>
              <w:t xml:space="preserve">and there is evidence of wider reading and research. Unfortunately </w:t>
            </w:r>
            <w:r>
              <w:rPr>
                <w:rFonts w:ascii="Trebuchet MS" w:cs="Arial" w:hAnsi="Trebuchet MS"/>
                <w:sz w:val="22"/>
              </w:rPr>
              <w:t xml:space="preserve">you have not yet achieved the command verb regarding a </w:t>
            </w:r>
            <w:r>
              <w:rPr>
                <w:rFonts w:ascii="Trebuchet MS" w:cs="Arial" w:hAnsi="Trebuchet MS"/>
                <w:sz w:val="22"/>
              </w:rPr>
              <w:t xml:space="preserve">flat </w:t>
            </w:r>
            <w:r>
              <w:rPr>
                <w:rFonts w:ascii="Trebuchet MS" w:cs="Arial" w:hAnsi="Trebuchet MS"/>
                <w:sz w:val="22"/>
              </w:rPr>
              <w:t xml:space="preserve">structure. </w:t>
            </w:r>
          </w:p>
          <w:p>
            <w:pPr>
              <w:pStyle w:val="style4101"/>
              <w:rPr>
                <w:rFonts w:ascii="Trebuchet MS" w:cs="Arial" w:hAnsi="Trebuchet MS"/>
                <w:color w:val="1f497d"/>
                <w:sz w:val="22"/>
              </w:rPr>
            </w:pPr>
            <w:r>
              <w:rPr>
                <w:rFonts w:ascii="Trebuchet MS" w:cs="Arial" w:hAnsi="Trebuchet MS"/>
                <w:sz w:val="22"/>
              </w:rPr>
              <w:t xml:space="preserve">For the resubmission – Please also explain the limitations/challenges associated with a </w:t>
            </w:r>
            <w:r>
              <w:rPr>
                <w:rFonts w:ascii="Trebuchet MS" w:cs="Arial" w:hAnsi="Trebuchet MS"/>
                <w:sz w:val="22"/>
              </w:rPr>
              <w:t>flat structure at Calmere House.</w:t>
            </w:r>
          </w:p>
        </w:tc>
        <w:tc>
          <w:tcPr>
            <w:tcW w:w="2410" w:type="dxa"/>
            <w:tcBorders>
              <w:top w:val="single" w:sz="12" w:space="0" w:color="auto"/>
              <w:right w:val="single" w:sz="12" w:space="0" w:color="auto"/>
            </w:tcBorders>
          </w:tcPr>
          <w:p>
            <w:pPr>
              <w:pStyle w:val="style4101"/>
              <w:rPr>
                <w:rFonts w:cs="Arial"/>
                <w:szCs w:val="20"/>
              </w:rPr>
            </w:pPr>
            <w:r>
              <w:rPr>
                <w:rFonts w:cs="Arial"/>
                <w:szCs w:val="20"/>
              </w:rPr>
              <w:t>1</w:t>
            </w:r>
          </w:p>
        </w:tc>
      </w:tr>
      <w:tr>
        <w:tblPrEx/>
        <w:trPr>
          <w:trHeight w:val="385" w:hRule="atLeast"/>
        </w:trPr>
        <w:tc>
          <w:tcPr>
            <w:tcW w:w="1119" w:type="dxa"/>
            <w:tcBorders>
              <w:left w:val="single" w:sz="12" w:space="0" w:color="auto"/>
            </w:tcBorders>
          </w:tcPr>
          <w:p>
            <w:pPr>
              <w:pStyle w:val="style4108"/>
              <w:rPr>
                <w:szCs w:val="20"/>
              </w:rPr>
            </w:pPr>
            <w:r>
              <w:rPr>
                <w:szCs w:val="20"/>
              </w:rPr>
              <w:t>Q2</w:t>
            </w:r>
          </w:p>
        </w:tc>
        <w:tc>
          <w:tcPr>
            <w:tcW w:w="5387" w:type="dxa"/>
            <w:tcBorders/>
          </w:tcPr>
          <w:p>
            <w:pPr>
              <w:pStyle w:val="style4102"/>
              <w:rPr>
                <w:rFonts w:cs="Arial"/>
                <w:b w:val="false"/>
                <w:bCs/>
                <w:szCs w:val="20"/>
              </w:rPr>
            </w:pPr>
            <w:r>
              <w:rPr>
                <w:rFonts w:cs="Arial"/>
                <w:b w:val="false"/>
                <w:bCs/>
                <w:szCs w:val="20"/>
              </w:rPr>
              <w:t>Analyse how Chaffinch Group could use a rational approach to strategy formulation to ensure that services provided meet customer needs.</w:t>
            </w:r>
            <w:r>
              <w:rPr>
                <w:rFonts w:cs="Arial"/>
                <w:b w:val="false"/>
                <w:bCs/>
                <w:szCs w:val="20"/>
              </w:rPr>
              <w:t xml:space="preserve"> </w:t>
            </w:r>
            <w:r>
              <w:rPr>
                <w:rFonts w:cs="Arial"/>
                <w:b w:val="false"/>
                <w:bCs/>
                <w:szCs w:val="20"/>
              </w:rPr>
              <w:t>(AC 1.2)</w:t>
            </w:r>
          </w:p>
        </w:tc>
        <w:tc>
          <w:tcPr>
            <w:tcW w:w="6237" w:type="dxa"/>
            <w:tcBorders/>
          </w:tcPr>
          <w:p>
            <w:pPr>
              <w:pStyle w:val="style4101"/>
              <w:rPr>
                <w:rFonts w:ascii="Trebuchet MS" w:cs="Arial" w:hAnsi="Trebuchet MS"/>
                <w:sz w:val="22"/>
              </w:rPr>
            </w:pPr>
            <w:r>
              <w:rPr>
                <w:rFonts w:ascii="Trebuchet MS" w:cs="Arial" w:hAnsi="Trebuchet MS"/>
                <w:sz w:val="22"/>
              </w:rPr>
              <w:t xml:space="preserve">Well </w:t>
            </w:r>
            <w:r>
              <w:rPr>
                <w:rFonts w:ascii="Trebuchet MS" w:cs="Arial" w:hAnsi="Trebuchet MS"/>
                <w:sz w:val="22"/>
              </w:rPr>
              <w:t xml:space="preserve">done so far. </w:t>
            </w:r>
            <w:r>
              <w:rPr>
                <w:rFonts w:ascii="Trebuchet MS" w:cs="Arial" w:hAnsi="Trebuchet MS"/>
                <w:sz w:val="22"/>
              </w:rPr>
              <w:t xml:space="preserve">You have explained the rational approach and there is evidence of wider reading and research. </w:t>
            </w:r>
            <w:r>
              <w:rPr>
                <w:rFonts w:ascii="Trebuchet MS" w:cs="Arial" w:hAnsi="Trebuchet MS"/>
                <w:sz w:val="22"/>
              </w:rPr>
              <w:t xml:space="preserve">However it is important that you adhere to the command verb of ‘analyse’ which </w:t>
            </w:r>
            <w:r>
              <w:rPr>
                <w:rFonts w:ascii="Trebuchet MS" w:cs="Arial" w:hAnsi="Trebuchet MS"/>
                <w:sz w:val="22"/>
              </w:rPr>
              <w:t>h</w:t>
            </w:r>
            <w:r>
              <w:rPr>
                <w:rFonts w:ascii="Trebuchet MS" w:cs="Arial" w:hAnsi="Trebuchet MS"/>
                <w:sz w:val="22"/>
              </w:rPr>
              <w:t xml:space="preserve">as not yet been achieved. </w:t>
            </w:r>
          </w:p>
          <w:p>
            <w:pPr>
              <w:pStyle w:val="style4101"/>
              <w:rPr>
                <w:rFonts w:cs="Arial"/>
                <w:i/>
                <w:iCs/>
                <w:color w:val="1f497d"/>
                <w:sz w:val="18"/>
                <w:szCs w:val="18"/>
              </w:rPr>
            </w:pPr>
            <w:r>
              <w:rPr>
                <w:rFonts w:ascii="Trebuchet MS" w:cs="Arial" w:hAnsi="Trebuchet MS"/>
                <w:sz w:val="22"/>
              </w:rPr>
              <w:t>For the resubmission – Please consider</w:t>
            </w:r>
            <w:r>
              <w:rPr>
                <w:rFonts w:ascii="Trebuchet MS" w:cs="Arial" w:hAnsi="Trebuchet MS"/>
                <w:sz w:val="22"/>
              </w:rPr>
              <w:t xml:space="preserve"> the advantages and disadvantages of the rational approach in the context of the case study. How has this affected the services/products and customer needs?</w:t>
            </w:r>
          </w:p>
        </w:tc>
        <w:tc>
          <w:tcPr>
            <w:tcW w:w="2410" w:type="dxa"/>
            <w:tcBorders>
              <w:right w:val="single" w:sz="12" w:space="0" w:color="auto"/>
            </w:tcBorders>
          </w:tcPr>
          <w:p>
            <w:pPr>
              <w:pStyle w:val="style4101"/>
              <w:rPr>
                <w:rFonts w:cs="Arial"/>
                <w:szCs w:val="20"/>
              </w:rPr>
            </w:pPr>
            <w:r>
              <w:rPr>
                <w:rFonts w:cs="Arial"/>
                <w:szCs w:val="20"/>
              </w:rPr>
              <w:t>1</w:t>
            </w:r>
          </w:p>
        </w:tc>
      </w:tr>
      <w:tr>
        <w:tblPrEx/>
        <w:trPr>
          <w:trHeight w:val="385" w:hRule="atLeast"/>
        </w:trPr>
        <w:tc>
          <w:tcPr>
            <w:tcW w:w="1119" w:type="dxa"/>
            <w:tcBorders>
              <w:left w:val="single" w:sz="12" w:space="0" w:color="auto"/>
            </w:tcBorders>
          </w:tcPr>
          <w:p>
            <w:pPr>
              <w:pStyle w:val="style4108"/>
              <w:rPr>
                <w:szCs w:val="20"/>
              </w:rPr>
            </w:pPr>
            <w:r>
              <w:rPr>
                <w:szCs w:val="20"/>
              </w:rPr>
              <w:t>Q3</w:t>
            </w:r>
          </w:p>
        </w:tc>
        <w:tc>
          <w:tcPr>
            <w:tcW w:w="5387" w:type="dxa"/>
            <w:tcBorders/>
          </w:tcPr>
          <w:p>
            <w:pPr>
              <w:pStyle w:val="style4102"/>
              <w:rPr>
                <w:rFonts w:cs="Arial"/>
                <w:b w:val="false"/>
                <w:bCs/>
                <w:szCs w:val="20"/>
              </w:rPr>
            </w:pPr>
            <w:r>
              <w:rPr>
                <w:rFonts w:cs="Arial"/>
                <w:b w:val="false"/>
                <w:bCs/>
                <w:szCs w:val="20"/>
              </w:rPr>
              <w:t>Analyse one external factor that is currently having a negative impact on the residential care industry and one external factor that is currently having a positive impact on the residential care industry. (AC 1.3)</w:t>
            </w:r>
          </w:p>
        </w:tc>
        <w:tc>
          <w:tcPr>
            <w:tcW w:w="6237" w:type="dxa"/>
            <w:tcBorders/>
          </w:tcPr>
          <w:p>
            <w:pPr>
              <w:pStyle w:val="style4101"/>
              <w:rPr>
                <w:rFonts w:cs="Arial"/>
                <w:sz w:val="18"/>
                <w:szCs w:val="18"/>
              </w:rPr>
            </w:pPr>
          </w:p>
        </w:tc>
        <w:tc>
          <w:tcPr>
            <w:tcW w:w="2410" w:type="dxa"/>
            <w:tcBorders>
              <w:right w:val="single" w:sz="12" w:space="0" w:color="auto"/>
            </w:tcBorders>
          </w:tcPr>
          <w:p>
            <w:pPr>
              <w:pStyle w:val="style4101"/>
              <w:rPr>
                <w:rFonts w:cs="Arial"/>
                <w:szCs w:val="20"/>
              </w:rPr>
            </w:pPr>
            <w:r>
              <w:rPr>
                <w:rFonts w:cs="Arial"/>
                <w:szCs w:val="20"/>
              </w:rPr>
              <w:t>2</w:t>
            </w:r>
          </w:p>
        </w:tc>
      </w:tr>
      <w:tr>
        <w:tblPrEx/>
        <w:trPr>
          <w:trHeight w:val="385" w:hRule="atLeast"/>
        </w:trPr>
        <w:tc>
          <w:tcPr>
            <w:tcW w:w="1119" w:type="dxa"/>
            <w:tcBorders>
              <w:left w:val="single" w:sz="12" w:space="0" w:color="auto"/>
            </w:tcBorders>
          </w:tcPr>
          <w:p>
            <w:pPr>
              <w:pStyle w:val="style4108"/>
              <w:rPr>
                <w:szCs w:val="20"/>
              </w:rPr>
            </w:pPr>
            <w:r>
              <w:rPr>
                <w:szCs w:val="20"/>
              </w:rPr>
              <w:t>Q4</w:t>
            </w:r>
          </w:p>
        </w:tc>
        <w:tc>
          <w:tcPr>
            <w:tcW w:w="5387" w:type="dxa"/>
            <w:tcBorders/>
          </w:tcPr>
          <w:p>
            <w:pPr>
              <w:pStyle w:val="style4102"/>
              <w:rPr>
                <w:rFonts w:cs="Arial"/>
                <w:b w:val="false"/>
                <w:bCs/>
                <w:szCs w:val="20"/>
              </w:rPr>
            </w:pPr>
            <w:r>
              <w:rPr>
                <w:rFonts w:cs="Arial"/>
                <w:b w:val="false"/>
                <w:bCs/>
                <w:szCs w:val="20"/>
              </w:rPr>
              <w:t>Under Kirsten’s ownership of Calmere House, there was little investment in technology. Chaffinch Group want to change this approach and have decided to implement technology to deliver better patient care and employee experience. Assess how technology could be used by Chaffinch Group and how this would impact work at Calmere House. (AC 1.4)</w:t>
            </w:r>
          </w:p>
        </w:tc>
        <w:tc>
          <w:tcPr>
            <w:tcW w:w="6237" w:type="dxa"/>
            <w:tcBorders/>
          </w:tcPr>
          <w:p>
            <w:pPr>
              <w:pStyle w:val="style4101"/>
              <w:rPr>
                <w:rFonts w:cs="Arial"/>
                <w:i/>
                <w:iCs/>
                <w:color w:val="1f497d"/>
                <w:sz w:val="18"/>
                <w:szCs w:val="18"/>
              </w:rPr>
            </w:pPr>
          </w:p>
        </w:tc>
        <w:tc>
          <w:tcPr>
            <w:tcW w:w="2410" w:type="dxa"/>
            <w:tcBorders>
              <w:right w:val="single" w:sz="12" w:space="0" w:color="auto"/>
            </w:tcBorders>
          </w:tcPr>
          <w:p>
            <w:pPr>
              <w:pStyle w:val="style4101"/>
              <w:rPr>
                <w:rFonts w:cs="Arial"/>
                <w:szCs w:val="20"/>
              </w:rPr>
            </w:pPr>
            <w:r>
              <w:rPr>
                <w:rFonts w:cs="Arial"/>
                <w:szCs w:val="20"/>
              </w:rPr>
              <w:t>3</w:t>
            </w:r>
          </w:p>
        </w:tc>
      </w:tr>
      <w:tr>
        <w:tblPrEx/>
        <w:trPr>
          <w:trHeight w:val="385" w:hRule="atLeast"/>
        </w:trPr>
        <w:tc>
          <w:tcPr>
            <w:tcW w:w="1119" w:type="dxa"/>
            <w:tcBorders>
              <w:left w:val="single" w:sz="12" w:space="0" w:color="auto"/>
            </w:tcBorders>
          </w:tcPr>
          <w:p>
            <w:pPr>
              <w:pStyle w:val="style4108"/>
              <w:rPr>
                <w:szCs w:val="20"/>
              </w:rPr>
            </w:pPr>
            <w:r>
              <w:rPr>
                <w:szCs w:val="20"/>
              </w:rPr>
              <w:t>Q5</w:t>
            </w:r>
          </w:p>
        </w:tc>
        <w:tc>
          <w:tcPr>
            <w:tcW w:w="5387" w:type="dxa"/>
            <w:tcBorders/>
          </w:tcPr>
          <w:p>
            <w:pPr>
              <w:pStyle w:val="style4102"/>
              <w:rPr>
                <w:rFonts w:cs="Arial"/>
                <w:b w:val="false"/>
                <w:bCs/>
                <w:szCs w:val="20"/>
              </w:rPr>
            </w:pPr>
            <w:r>
              <w:rPr>
                <w:rFonts w:cs="Arial"/>
                <w:b w:val="false"/>
                <w:bCs/>
                <w:szCs w:val="20"/>
              </w:rPr>
              <w:t>Using theories and models which examine organisational and human behaviour, explain why problems have arisen following the takeover of Calmere House by Chaffinch Group. (AC 2.1)</w:t>
            </w:r>
          </w:p>
        </w:tc>
        <w:tc>
          <w:tcPr>
            <w:tcW w:w="6237" w:type="dxa"/>
            <w:tcBorders/>
          </w:tcPr>
          <w:p>
            <w:pPr>
              <w:pStyle w:val="style4101"/>
              <w:rPr>
                <w:rFonts w:ascii="Trebuchet MS" w:cs="Arial" w:hAnsi="Trebuchet MS"/>
                <w:sz w:val="22"/>
              </w:rPr>
            </w:pPr>
          </w:p>
        </w:tc>
        <w:tc>
          <w:tcPr>
            <w:tcW w:w="2410" w:type="dxa"/>
            <w:tcBorders>
              <w:right w:val="single" w:sz="12" w:space="0" w:color="auto"/>
            </w:tcBorders>
          </w:tcPr>
          <w:p>
            <w:pPr>
              <w:pStyle w:val="style4101"/>
              <w:rPr>
                <w:rFonts w:cs="Arial"/>
                <w:szCs w:val="20"/>
              </w:rPr>
            </w:pPr>
            <w:r>
              <w:rPr>
                <w:rFonts w:cs="Arial"/>
                <w:szCs w:val="20"/>
              </w:rPr>
              <w:t>2</w:t>
            </w:r>
          </w:p>
        </w:tc>
      </w:tr>
      <w:tr>
        <w:tblPrEx/>
        <w:trPr>
          <w:trHeight w:val="385" w:hRule="atLeast"/>
        </w:trPr>
        <w:tc>
          <w:tcPr>
            <w:tcW w:w="1119" w:type="dxa"/>
            <w:tcBorders>
              <w:left w:val="single" w:sz="12" w:space="0" w:color="auto"/>
            </w:tcBorders>
          </w:tcPr>
          <w:p>
            <w:pPr>
              <w:pStyle w:val="style4108"/>
              <w:rPr>
                <w:szCs w:val="20"/>
              </w:rPr>
            </w:pPr>
            <w:r>
              <w:rPr>
                <w:szCs w:val="20"/>
              </w:rPr>
              <w:t>Q6</w:t>
            </w:r>
          </w:p>
        </w:tc>
        <w:tc>
          <w:tcPr>
            <w:tcW w:w="5387" w:type="dxa"/>
            <w:tcBorders/>
          </w:tcPr>
          <w:p>
            <w:pPr>
              <w:pStyle w:val="style4102"/>
              <w:rPr>
                <w:rFonts w:cs="Arial"/>
                <w:b w:val="false"/>
                <w:bCs/>
                <w:szCs w:val="20"/>
              </w:rPr>
            </w:pPr>
            <w:r>
              <w:rPr>
                <w:rFonts w:cs="Arial"/>
                <w:b w:val="false"/>
                <w:bCs/>
                <w:szCs w:val="20"/>
              </w:rPr>
              <w:t>Assess how changes to selection and employee voice</w:t>
            </w:r>
            <w:r>
              <w:rPr>
                <w:rFonts w:cs="Arial"/>
                <w:b w:val="false"/>
                <w:bCs/>
                <w:szCs w:val="20"/>
              </w:rPr>
              <w:t xml:space="preserve"> </w:t>
            </w:r>
            <w:r>
              <w:rPr>
                <w:rFonts w:cs="Arial"/>
                <w:b w:val="false"/>
                <w:bCs/>
                <w:szCs w:val="20"/>
              </w:rPr>
              <w:t>have impacted organisational culture and behaviours at Chaffinch Group. (AC 2.2)</w:t>
            </w:r>
          </w:p>
        </w:tc>
        <w:tc>
          <w:tcPr>
            <w:tcW w:w="6237" w:type="dxa"/>
            <w:tcBorders/>
          </w:tcPr>
          <w:p>
            <w:pPr>
              <w:pStyle w:val="style4101"/>
              <w:rPr>
                <w:rFonts w:ascii="Trebuchet MS" w:cs="Arial" w:hAnsi="Trebuchet MS"/>
                <w:sz w:val="22"/>
              </w:rPr>
            </w:pPr>
          </w:p>
        </w:tc>
        <w:tc>
          <w:tcPr>
            <w:tcW w:w="2410" w:type="dxa"/>
            <w:tcBorders>
              <w:right w:val="single" w:sz="12" w:space="0" w:color="auto"/>
            </w:tcBorders>
          </w:tcPr>
          <w:p>
            <w:pPr>
              <w:pStyle w:val="style4101"/>
              <w:rPr>
                <w:rFonts w:cs="Arial"/>
                <w:szCs w:val="20"/>
              </w:rPr>
            </w:pPr>
            <w:r>
              <w:rPr>
                <w:rFonts w:cs="Arial"/>
                <w:szCs w:val="20"/>
              </w:rPr>
              <w:t>2</w:t>
            </w:r>
          </w:p>
        </w:tc>
      </w:tr>
      <w:tr>
        <w:tblPrEx/>
        <w:trPr>
          <w:trHeight w:val="385" w:hRule="atLeast"/>
        </w:trPr>
        <w:tc>
          <w:tcPr>
            <w:tcW w:w="1119" w:type="dxa"/>
            <w:tcBorders>
              <w:left w:val="single" w:sz="12" w:space="0" w:color="auto"/>
            </w:tcBorders>
          </w:tcPr>
          <w:p>
            <w:pPr>
              <w:pStyle w:val="style4108"/>
              <w:rPr>
                <w:szCs w:val="20"/>
              </w:rPr>
            </w:pPr>
            <w:r>
              <w:rPr>
                <w:szCs w:val="20"/>
              </w:rPr>
              <w:t>Q7</w:t>
            </w:r>
          </w:p>
        </w:tc>
        <w:tc>
          <w:tcPr>
            <w:tcW w:w="5387" w:type="dxa"/>
            <w:tcBorders/>
          </w:tcPr>
          <w:p>
            <w:pPr>
              <w:pStyle w:val="style4102"/>
              <w:rPr>
                <w:rFonts w:cs="Arial"/>
                <w:b w:val="false"/>
                <w:bCs/>
                <w:szCs w:val="20"/>
              </w:rPr>
            </w:pPr>
            <w:r>
              <w:rPr>
                <w:rFonts w:cs="Arial"/>
                <w:b w:val="false"/>
                <w:bCs/>
                <w:szCs w:val="20"/>
              </w:rPr>
              <w:t>Explain how Chaffinch Group could have better managed the change from a small owner-managed care home to Calmere House being part of a large organisation. (AC</w:t>
            </w:r>
            <w:r>
              <w:rPr>
                <w:rFonts w:cs="Arial"/>
                <w:b w:val="false"/>
                <w:bCs/>
                <w:szCs w:val="20"/>
              </w:rPr>
              <w:t> </w:t>
            </w:r>
            <w:r>
              <w:rPr>
                <w:rFonts w:cs="Arial"/>
                <w:b w:val="false"/>
                <w:bCs/>
                <w:szCs w:val="20"/>
              </w:rPr>
              <w:t>2.3)</w:t>
            </w:r>
          </w:p>
        </w:tc>
        <w:tc>
          <w:tcPr>
            <w:tcW w:w="6237" w:type="dxa"/>
            <w:tcBorders/>
          </w:tcPr>
          <w:p>
            <w:pPr>
              <w:pStyle w:val="style4101"/>
              <w:rPr>
                <w:rFonts w:ascii="Trebuchet MS" w:cs="Arial" w:hAnsi="Trebuchet MS"/>
                <w:sz w:val="22"/>
              </w:rPr>
            </w:pPr>
            <w:r>
              <w:rPr>
                <w:rFonts w:ascii="Trebuchet MS" w:cs="Arial" w:hAnsi="Trebuchet MS"/>
                <w:sz w:val="22"/>
              </w:rPr>
              <w:t xml:space="preserve">You have briefly touched upon Kotter’s change management model. Unfortunately there is insufficient detail in respect of the question as you need to use Kotter’s model to explain how the change could have been managed more effectively. Please also ensure the relevance of all your intext citations, for example Adeleke, 2025 is not relevant to the context of </w:t>
            </w:r>
            <w:r>
              <w:rPr>
                <w:rFonts w:ascii="Trebuchet MS" w:cs="Arial" w:hAnsi="Trebuchet MS"/>
                <w:sz w:val="22"/>
              </w:rPr>
              <w:t>your answer and Sylla, 2025 has not been included in the reference page.</w:t>
            </w:r>
          </w:p>
          <w:p>
            <w:pPr>
              <w:pStyle w:val="style4101"/>
              <w:rPr>
                <w:rFonts w:ascii="Trebuchet MS" w:cs="Arial" w:hAnsi="Trebuchet MS"/>
                <w:sz w:val="22"/>
              </w:rPr>
            </w:pPr>
            <w:r>
              <w:rPr>
                <w:rFonts w:ascii="Trebuchet MS" w:cs="Arial" w:hAnsi="Trebuchet MS"/>
                <w:sz w:val="22"/>
              </w:rPr>
              <w:t>For the resubmission – Using Kotter’s change management model, please clearly explain how the change could have been managed more effectively. Please ensure you include all sources within the reference page.</w:t>
            </w:r>
          </w:p>
        </w:tc>
        <w:tc>
          <w:tcPr>
            <w:tcW w:w="2410" w:type="dxa"/>
            <w:tcBorders>
              <w:right w:val="single" w:sz="12" w:space="0" w:color="auto"/>
            </w:tcBorders>
          </w:tcPr>
          <w:p>
            <w:pPr>
              <w:pStyle w:val="style4101"/>
              <w:rPr>
                <w:rFonts w:cs="Arial"/>
                <w:szCs w:val="20"/>
              </w:rPr>
            </w:pPr>
            <w:r>
              <w:rPr>
                <w:rFonts w:cs="Arial"/>
                <w:szCs w:val="20"/>
              </w:rPr>
              <w:t>1</w:t>
            </w:r>
          </w:p>
        </w:tc>
      </w:tr>
      <w:tr>
        <w:tblPrEx/>
        <w:trPr>
          <w:trHeight w:val="385" w:hRule="atLeast"/>
        </w:trPr>
        <w:tc>
          <w:tcPr>
            <w:tcW w:w="1119" w:type="dxa"/>
            <w:tcBorders>
              <w:left w:val="single" w:sz="12" w:space="0" w:color="auto"/>
            </w:tcBorders>
          </w:tcPr>
          <w:p>
            <w:pPr>
              <w:pStyle w:val="style4108"/>
              <w:rPr>
                <w:szCs w:val="20"/>
              </w:rPr>
            </w:pPr>
            <w:r>
              <w:rPr>
                <w:szCs w:val="20"/>
              </w:rPr>
              <w:t>Q8</w:t>
            </w:r>
          </w:p>
        </w:tc>
        <w:tc>
          <w:tcPr>
            <w:tcW w:w="5387" w:type="dxa"/>
            <w:tcBorders/>
          </w:tcPr>
          <w:p>
            <w:pPr>
              <w:pStyle w:val="style4102"/>
              <w:rPr>
                <w:rFonts w:cs="Arial"/>
                <w:b w:val="false"/>
                <w:bCs/>
                <w:szCs w:val="20"/>
              </w:rPr>
            </w:pPr>
            <w:r>
              <w:rPr>
                <w:rFonts w:cs="Arial"/>
                <w:b w:val="false"/>
                <w:bCs/>
                <w:szCs w:val="20"/>
              </w:rPr>
              <w:t>Explain the experience of change for the employees at Calmere House and examine how this is reflected through the stages of one model. (AC 2.4)</w:t>
            </w:r>
          </w:p>
        </w:tc>
        <w:tc>
          <w:tcPr>
            <w:tcW w:w="6237" w:type="dxa"/>
            <w:tcBorders/>
          </w:tcPr>
          <w:p>
            <w:pPr>
              <w:pStyle w:val="style4101"/>
              <w:rPr>
                <w:rFonts w:cs="Arial"/>
                <w:i/>
                <w:iCs/>
                <w:color w:val="1f497d"/>
                <w:sz w:val="18"/>
                <w:szCs w:val="18"/>
              </w:rPr>
            </w:pPr>
          </w:p>
        </w:tc>
        <w:tc>
          <w:tcPr>
            <w:tcW w:w="2410" w:type="dxa"/>
            <w:tcBorders>
              <w:right w:val="single" w:sz="12" w:space="0" w:color="auto"/>
            </w:tcBorders>
          </w:tcPr>
          <w:p>
            <w:pPr>
              <w:pStyle w:val="style4101"/>
              <w:rPr>
                <w:rFonts w:cs="Arial"/>
                <w:szCs w:val="20"/>
              </w:rPr>
            </w:pPr>
            <w:r>
              <w:rPr>
                <w:rFonts w:cs="Arial"/>
                <w:szCs w:val="20"/>
              </w:rPr>
              <w:t>2</w:t>
            </w:r>
          </w:p>
        </w:tc>
      </w:tr>
      <w:tr>
        <w:tblPrEx/>
        <w:trPr>
          <w:trHeight w:val="385" w:hRule="atLeast"/>
        </w:trPr>
        <w:tc>
          <w:tcPr>
            <w:tcW w:w="1119" w:type="dxa"/>
            <w:tcBorders>
              <w:left w:val="single" w:sz="12" w:space="0" w:color="auto"/>
            </w:tcBorders>
          </w:tcPr>
          <w:p>
            <w:pPr>
              <w:pStyle w:val="style4108"/>
              <w:rPr>
                <w:szCs w:val="20"/>
              </w:rPr>
            </w:pPr>
            <w:r>
              <w:rPr>
                <w:szCs w:val="20"/>
              </w:rPr>
              <w:t>Q9</w:t>
            </w:r>
          </w:p>
        </w:tc>
        <w:tc>
          <w:tcPr>
            <w:tcW w:w="5387" w:type="dxa"/>
            <w:tcBorders/>
          </w:tcPr>
          <w:p>
            <w:pPr>
              <w:pStyle w:val="style4102"/>
              <w:rPr>
                <w:rFonts w:cs="Arial"/>
                <w:b w:val="false"/>
                <w:bCs/>
                <w:szCs w:val="20"/>
              </w:rPr>
            </w:pPr>
            <w:r>
              <w:rPr>
                <w:rFonts w:cs="Arial"/>
                <w:b w:val="false"/>
                <w:bCs/>
                <w:szCs w:val="20"/>
              </w:rPr>
              <w:t>Assess two factors that could impact employee wellbeing at Calmere House including why it is important that these factors are addressed. (AC 2.5)</w:t>
            </w:r>
          </w:p>
        </w:tc>
        <w:tc>
          <w:tcPr>
            <w:tcW w:w="6237" w:type="dxa"/>
            <w:tcBorders/>
          </w:tcPr>
          <w:p>
            <w:pPr>
              <w:pStyle w:val="style4101"/>
              <w:rPr>
                <w:rFonts w:cs="Arial"/>
                <w:i/>
                <w:iCs/>
                <w:color w:val="1f497d"/>
                <w:sz w:val="18"/>
                <w:szCs w:val="18"/>
              </w:rPr>
            </w:pPr>
          </w:p>
        </w:tc>
        <w:tc>
          <w:tcPr>
            <w:tcW w:w="2410" w:type="dxa"/>
            <w:tcBorders>
              <w:right w:val="single" w:sz="12" w:space="0" w:color="auto"/>
            </w:tcBorders>
          </w:tcPr>
          <w:p>
            <w:pPr>
              <w:pStyle w:val="style4101"/>
              <w:rPr>
                <w:rFonts w:cs="Arial"/>
                <w:szCs w:val="20"/>
              </w:rPr>
            </w:pPr>
            <w:r>
              <w:rPr>
                <w:rFonts w:cs="Arial"/>
                <w:szCs w:val="20"/>
              </w:rPr>
              <w:t>2</w:t>
            </w:r>
          </w:p>
        </w:tc>
      </w:tr>
    </w:tbl>
    <w:p>
      <w:pPr>
        <w:pStyle w:val="style0"/>
        <w:rPr/>
      </w:pPr>
      <w:r>
        <w:br w:type="page"/>
      </w:r>
    </w:p>
    <w:tbl>
      <w:tblPr>
        <w:tblW w:w="15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9"/>
        <w:gridCol w:w="5387"/>
        <w:gridCol w:w="6237"/>
        <w:gridCol w:w="2410"/>
      </w:tblGrid>
      <w:tr>
        <w:trPr>
          <w:trHeight w:val="385" w:hRule="atLeast"/>
        </w:trPr>
        <w:tc>
          <w:tcPr>
            <w:tcW w:w="1119" w:type="dxa"/>
            <w:tcBorders>
              <w:left w:val="single" w:sz="12" w:space="0" w:color="auto"/>
            </w:tcBorders>
          </w:tcPr>
          <w:p>
            <w:pPr>
              <w:pStyle w:val="style4108"/>
              <w:rPr>
                <w:szCs w:val="20"/>
              </w:rPr>
            </w:pPr>
            <w:r>
              <w:rPr>
                <w:szCs w:val="20"/>
              </w:rPr>
              <w:t>Q10</w:t>
            </w:r>
          </w:p>
        </w:tc>
        <w:tc>
          <w:tcPr>
            <w:tcW w:w="5387" w:type="dxa"/>
            <w:tcBorders/>
          </w:tcPr>
          <w:p>
            <w:pPr>
              <w:pStyle w:val="style4102"/>
              <w:rPr>
                <w:rFonts w:cs="Arial"/>
                <w:b w:val="false"/>
                <w:bCs/>
                <w:szCs w:val="20"/>
              </w:rPr>
            </w:pPr>
            <w:r>
              <w:rPr>
                <w:rFonts w:cs="Arial"/>
                <w:b w:val="false"/>
                <w:bCs/>
                <w:szCs w:val="20"/>
              </w:rPr>
              <w:t>Discuss how the people manager, recruitment advisor and employment relations case advisor could support the retention stage of the employee lifecycle. (AC 3.1)</w:t>
            </w:r>
          </w:p>
        </w:tc>
        <w:tc>
          <w:tcPr>
            <w:tcW w:w="6237" w:type="dxa"/>
            <w:tcBorders/>
          </w:tcPr>
          <w:p>
            <w:pPr>
              <w:pStyle w:val="style4101"/>
              <w:rPr>
                <w:rFonts w:cs="Arial"/>
                <w:i/>
                <w:iCs/>
                <w:color w:val="1f497d"/>
                <w:sz w:val="18"/>
                <w:szCs w:val="18"/>
              </w:rPr>
            </w:pPr>
          </w:p>
        </w:tc>
        <w:tc>
          <w:tcPr>
            <w:tcW w:w="2410" w:type="dxa"/>
            <w:tcBorders>
              <w:right w:val="single" w:sz="12" w:space="0" w:color="auto"/>
            </w:tcBorders>
          </w:tcPr>
          <w:p>
            <w:pPr>
              <w:pStyle w:val="style4101"/>
              <w:rPr>
                <w:rFonts w:cs="Arial"/>
                <w:szCs w:val="20"/>
              </w:rPr>
            </w:pPr>
            <w:r>
              <w:rPr>
                <w:rFonts w:cs="Arial"/>
                <w:szCs w:val="20"/>
              </w:rPr>
              <w:t>2</w:t>
            </w:r>
          </w:p>
        </w:tc>
      </w:tr>
      <w:tr>
        <w:tblPrEx/>
        <w:trPr>
          <w:trHeight w:val="385" w:hRule="atLeast"/>
        </w:trPr>
        <w:tc>
          <w:tcPr>
            <w:tcW w:w="1119" w:type="dxa"/>
            <w:tcBorders>
              <w:left w:val="single" w:sz="12" w:space="0" w:color="auto"/>
            </w:tcBorders>
          </w:tcPr>
          <w:p>
            <w:pPr>
              <w:pStyle w:val="style4108"/>
              <w:rPr>
                <w:szCs w:val="20"/>
              </w:rPr>
            </w:pPr>
            <w:r>
              <w:rPr>
                <w:szCs w:val="20"/>
              </w:rPr>
              <w:t>Q11</w:t>
            </w:r>
          </w:p>
        </w:tc>
        <w:tc>
          <w:tcPr>
            <w:tcW w:w="5387" w:type="dxa"/>
            <w:tcBorders/>
          </w:tcPr>
          <w:p>
            <w:pPr>
              <w:pStyle w:val="style4102"/>
              <w:rPr>
                <w:rFonts w:cs="Arial"/>
                <w:b w:val="false"/>
                <w:bCs/>
                <w:szCs w:val="20"/>
              </w:rPr>
            </w:pPr>
            <w:r>
              <w:rPr>
                <w:rFonts w:cs="Arial"/>
                <w:b w:val="false"/>
                <w:bCs/>
                <w:szCs w:val="20"/>
              </w:rPr>
              <w:t>Analyse how people practices could help Chaffinch Group to fill 100% of resident rooms within six months. (AC 3.2)</w:t>
            </w:r>
          </w:p>
        </w:tc>
        <w:tc>
          <w:tcPr>
            <w:tcW w:w="6237" w:type="dxa"/>
            <w:tcBorders/>
          </w:tcPr>
          <w:p>
            <w:pPr>
              <w:pStyle w:val="style4101"/>
              <w:rPr>
                <w:rFonts w:ascii="Trebuchet MS" w:cs="Arial" w:hAnsi="Trebuchet MS"/>
                <w:sz w:val="22"/>
              </w:rPr>
            </w:pPr>
            <w:r>
              <w:rPr>
                <w:rFonts w:ascii="Trebuchet MS" w:cs="Arial" w:hAnsi="Trebuchet MS"/>
                <w:sz w:val="22"/>
              </w:rPr>
              <w:t xml:space="preserve">You have made a good start here as you have explained </w:t>
            </w:r>
            <w:r>
              <w:rPr>
                <w:rFonts w:ascii="Trebuchet MS" w:cs="Arial" w:hAnsi="Trebuchet MS"/>
                <w:sz w:val="22"/>
              </w:rPr>
              <w:t xml:space="preserve">people practices such as L&amp;D can support the business. </w:t>
            </w:r>
            <w:r>
              <w:rPr>
                <w:rFonts w:ascii="Trebuchet MS" w:cs="Arial" w:hAnsi="Trebuchet MS"/>
                <w:sz w:val="22"/>
              </w:rPr>
              <w:t xml:space="preserve">There is evidence of wider reading </w:t>
            </w:r>
            <w:r>
              <w:rPr>
                <w:rFonts w:ascii="Trebuchet MS" w:cs="Arial" w:hAnsi="Trebuchet MS"/>
                <w:sz w:val="22"/>
              </w:rPr>
              <w:t>and research</w:t>
            </w:r>
            <w:r>
              <w:rPr>
                <w:rFonts w:ascii="Trebuchet MS" w:cs="Arial" w:hAnsi="Trebuchet MS"/>
                <w:sz w:val="22"/>
              </w:rPr>
              <w:t xml:space="preserve"> Unfortunately you have not achieved the command verb of ‘analyse’.</w:t>
            </w:r>
          </w:p>
          <w:p>
            <w:pPr>
              <w:pStyle w:val="style4101"/>
              <w:rPr>
                <w:rFonts w:cs="Arial"/>
                <w:i/>
                <w:iCs/>
                <w:color w:val="1f497d"/>
                <w:sz w:val="18"/>
                <w:szCs w:val="18"/>
              </w:rPr>
            </w:pPr>
            <w:r>
              <w:rPr>
                <w:rFonts w:ascii="Trebuchet MS" w:cs="Arial" w:hAnsi="Trebuchet MS"/>
                <w:sz w:val="22"/>
              </w:rPr>
              <w:t xml:space="preserve">For the resubmission – You also need to consider the limitations/disadvantages of these connections in terms of how </w:t>
            </w:r>
            <w:r>
              <w:rPr>
                <w:rFonts w:ascii="Trebuchet MS" w:cs="Arial" w:hAnsi="Trebuchet MS"/>
                <w:sz w:val="22"/>
              </w:rPr>
              <w:t>the people professional can assist in fulfilling Cha</w:t>
            </w:r>
            <w:r>
              <w:rPr>
                <w:rFonts w:ascii="Trebuchet MS" w:cs="Arial" w:hAnsi="Trebuchet MS"/>
                <w:sz w:val="22"/>
              </w:rPr>
              <w:t>ff</w:t>
            </w:r>
            <w:r>
              <w:rPr>
                <w:rFonts w:ascii="Trebuchet MS" w:cs="Arial" w:hAnsi="Trebuchet MS"/>
                <w:sz w:val="22"/>
              </w:rPr>
              <w:t>inch Group’s future strategy</w:t>
            </w:r>
            <w:r>
              <w:rPr>
                <w:rFonts w:ascii="Trebuchet MS" w:cs="Arial" w:hAnsi="Trebuchet MS"/>
                <w:sz w:val="22"/>
              </w:rPr>
              <w:t>.</w:t>
            </w:r>
          </w:p>
        </w:tc>
        <w:tc>
          <w:tcPr>
            <w:tcW w:w="2410" w:type="dxa"/>
            <w:tcBorders>
              <w:right w:val="single" w:sz="12" w:space="0" w:color="auto"/>
            </w:tcBorders>
          </w:tcPr>
          <w:p>
            <w:pPr>
              <w:pStyle w:val="style4101"/>
              <w:rPr>
                <w:rFonts w:cs="Arial"/>
                <w:szCs w:val="20"/>
              </w:rPr>
            </w:pPr>
            <w:r>
              <w:rPr>
                <w:rFonts w:cs="Arial"/>
                <w:szCs w:val="20"/>
              </w:rPr>
              <w:t>1</w:t>
            </w:r>
          </w:p>
        </w:tc>
      </w:tr>
      <w:tr>
        <w:tblPrEx/>
        <w:trPr>
          <w:trHeight w:val="385" w:hRule="atLeast"/>
        </w:trPr>
        <w:tc>
          <w:tcPr>
            <w:tcW w:w="1119" w:type="dxa"/>
            <w:tcBorders>
              <w:left w:val="single" w:sz="12" w:space="0" w:color="auto"/>
            </w:tcBorders>
          </w:tcPr>
          <w:p>
            <w:pPr>
              <w:pStyle w:val="style4108"/>
              <w:rPr>
                <w:szCs w:val="20"/>
              </w:rPr>
            </w:pPr>
            <w:r>
              <w:rPr>
                <w:szCs w:val="20"/>
              </w:rPr>
              <w:t>Q12</w:t>
            </w:r>
          </w:p>
        </w:tc>
        <w:tc>
          <w:tcPr>
            <w:tcW w:w="5387" w:type="dxa"/>
            <w:tcBorders/>
          </w:tcPr>
          <w:p>
            <w:pPr>
              <w:pStyle w:val="style4102"/>
              <w:rPr>
                <w:rFonts w:cs="Arial"/>
                <w:b w:val="false"/>
                <w:bCs/>
                <w:szCs w:val="20"/>
              </w:rPr>
            </w:pPr>
            <w:r>
              <w:rPr>
                <w:rFonts w:cs="Arial"/>
                <w:b w:val="false"/>
                <w:bCs/>
                <w:szCs w:val="20"/>
              </w:rPr>
              <w:t>Discuss how Kath could consult and engage with employees to understand why employee turnover at Calmere House has increased. (AC 3.3)</w:t>
            </w:r>
          </w:p>
        </w:tc>
        <w:tc>
          <w:tcPr>
            <w:tcW w:w="6237" w:type="dxa"/>
            <w:tcBorders/>
          </w:tcPr>
          <w:p>
            <w:pPr>
              <w:pStyle w:val="style0"/>
              <w:rPr>
                <w:rFonts w:ascii="Trebuchet MS" w:cs="Arial" w:hAnsi="Trebuchet MS"/>
              </w:rPr>
            </w:pPr>
          </w:p>
        </w:tc>
        <w:tc>
          <w:tcPr>
            <w:tcW w:w="2410" w:type="dxa"/>
            <w:tcBorders>
              <w:right w:val="single" w:sz="12" w:space="0" w:color="auto"/>
            </w:tcBorders>
          </w:tcPr>
          <w:p>
            <w:pPr>
              <w:pStyle w:val="style4101"/>
              <w:rPr>
                <w:rFonts w:cs="Arial"/>
                <w:szCs w:val="20"/>
              </w:rPr>
            </w:pPr>
            <w:r>
              <w:rPr>
                <w:rFonts w:cs="Arial"/>
                <w:szCs w:val="20"/>
              </w:rPr>
              <w:t>2</w:t>
            </w:r>
          </w:p>
        </w:tc>
      </w:tr>
      <w:tr>
        <w:tblPrEx/>
        <w:trPr>
          <w:trHeight w:val="385" w:hRule="atLeast"/>
        </w:trPr>
        <w:tc>
          <w:tcPr>
            <w:tcW w:w="12743" w:type="dxa"/>
            <w:gridSpan w:val="3"/>
            <w:tcBorders>
              <w:left w:val="single" w:sz="12" w:space="0" w:color="auto"/>
            </w:tcBorders>
          </w:tcPr>
          <w:p>
            <w:pPr>
              <w:pStyle w:val="style4101"/>
              <w:rPr>
                <w:rFonts w:cs="Arial"/>
                <w:i/>
                <w:iCs/>
                <w:color w:val="1f497d"/>
                <w:sz w:val="18"/>
                <w:szCs w:val="18"/>
              </w:rPr>
            </w:pPr>
            <w:r>
              <w:rPr>
                <w:rFonts w:cs="Arial"/>
                <w:b/>
                <w:bCs/>
                <w:sz w:val="22"/>
              </w:rPr>
              <w:t xml:space="preserve">Total marks for Task </w:t>
            </w:r>
          </w:p>
        </w:tc>
        <w:tc>
          <w:tcPr>
            <w:tcW w:w="2410" w:type="dxa"/>
            <w:tcBorders>
              <w:right w:val="single" w:sz="12" w:space="0" w:color="auto"/>
            </w:tcBorders>
          </w:tcPr>
          <w:p>
            <w:pPr>
              <w:pStyle w:val="style4101"/>
              <w:rPr>
                <w:rFonts w:cs="Arial"/>
                <w:szCs w:val="20"/>
              </w:rPr>
            </w:pPr>
            <w:r>
              <w:rPr>
                <w:rFonts w:cs="Arial"/>
                <w:szCs w:val="20"/>
              </w:rPr>
              <w:t>2</w:t>
            </w:r>
            <w:r>
              <w:rPr>
                <w:rFonts w:cs="Arial"/>
                <w:szCs w:val="20"/>
              </w:rPr>
              <w:t>1</w:t>
            </w:r>
          </w:p>
        </w:tc>
      </w:tr>
      <w:bookmarkEnd w:id="13"/>
    </w:tbl>
    <w:p>
      <w:pPr>
        <w:pStyle w:val="style0"/>
        <w:rPr>
          <w:rFonts w:ascii="Arial" w:cs="Arial" w:hAnsi="Arial"/>
          <w:highlight w:val="yellow"/>
        </w:rPr>
      </w:pPr>
    </w:p>
    <w:p>
      <w:pPr>
        <w:pStyle w:val="style0"/>
        <w:rPr/>
      </w:pPr>
      <w:r>
        <w:br w:type="page"/>
      </w:r>
    </w:p>
    <w:p>
      <w:pPr>
        <w:pStyle w:val="style0"/>
        <w:rPr>
          <w:rFonts w:ascii="Arial" w:cs="Arial" w:eastAsia="Arial" w:hAnsi="Arial"/>
          <w:i/>
          <w:iCs/>
          <w:color w:val="1f497d"/>
        </w:rPr>
      </w:pPr>
      <w:r>
        <w:rPr>
          <w:rFonts w:ascii="Arial" w:cs="Arial" w:hAnsi="Arial"/>
          <w:b/>
          <w:bCs/>
          <w:sz w:val="24"/>
          <w:szCs w:val="24"/>
        </w:rPr>
        <w:t xml:space="preserve">Note to assessor: </w:t>
      </w:r>
      <w:r>
        <w:rPr>
          <w:rFonts w:ascii="Arial" w:cs="Arial" w:eastAsia="Arial" w:hAnsi="Arial"/>
          <w:i/>
          <w:iCs/>
          <w:color w:val="1f497d"/>
        </w:rPr>
        <w:t>Please use th</w:t>
      </w:r>
      <w:r>
        <w:rPr>
          <w:rFonts w:ascii="Arial" w:cs="Arial" w:eastAsia="Arial" w:hAnsi="Arial"/>
          <w:i/>
          <w:iCs/>
          <w:color w:val="1f497d"/>
        </w:rPr>
        <w:t>e box below</w:t>
      </w:r>
      <w:r>
        <w:rPr>
          <w:rFonts w:ascii="Arial" w:cs="Arial" w:eastAsia="Arial" w:hAnsi="Arial"/>
          <w:i/>
          <w:iCs/>
          <w:color w:val="1f497d"/>
        </w:rPr>
        <w:t xml:space="preserve"> to summarise your feedback on the assessment overall. </w:t>
      </w:r>
      <w:r>
        <w:rPr>
          <w:rFonts w:ascii="Arial" w:cs="Arial" w:eastAsia="Arial" w:hAnsi="Arial"/>
          <w:i/>
          <w:iCs/>
          <w:color w:val="1f497d"/>
        </w:rPr>
        <w:t xml:space="preserve">Please ensure you </w:t>
      </w:r>
      <w:r>
        <w:rPr>
          <w:rFonts w:ascii="Arial" w:cs="Arial" w:eastAsia="Arial" w:hAnsi="Arial"/>
          <w:i/>
          <w:iCs/>
          <w:color w:val="1f497d"/>
        </w:rPr>
        <w:t xml:space="preserve">highlight strengths and any areas for improvement, either referring to specific (good or requires improvement) ACs or commenting more generally across the assessment. </w:t>
      </w:r>
    </w:p>
    <w:p>
      <w:pPr>
        <w:pStyle w:val="style0"/>
        <w:spacing w:before="120"/>
        <w:rPr>
          <w:rFonts w:ascii="Arial" w:cs="Arial" w:eastAsia="Arial" w:hAnsi="Arial"/>
          <w:i/>
          <w:iCs/>
          <w:color w:val="1f497d"/>
        </w:rPr>
      </w:pPr>
      <w:r>
        <w:rPr>
          <w:rFonts w:ascii="Arial" w:cs="Arial" w:eastAsia="Arial" w:hAnsi="Arial"/>
          <w:i/>
          <w:iCs/>
          <w:color w:val="1f497d"/>
        </w:rPr>
        <w:t xml:space="preserve">Please use a different </w:t>
      </w:r>
      <w:r>
        <w:rPr>
          <w:rFonts w:ascii="Arial" w:cs="Arial" w:eastAsia="Arial" w:hAnsi="Arial"/>
          <w:b/>
          <w:bCs/>
          <w:i/>
          <w:iCs/>
          <w:color w:val="0070c0"/>
        </w:rPr>
        <w:t>font colour</w:t>
      </w:r>
      <w:r>
        <w:rPr>
          <w:rFonts w:ascii="Arial" w:cs="Arial" w:eastAsia="Arial" w:hAnsi="Arial"/>
          <w:i/>
          <w:color w:val="004147"/>
        </w:rPr>
        <w:t xml:space="preserve"> </w:t>
      </w:r>
      <w:r>
        <w:rPr>
          <w:rFonts w:ascii="Arial" w:cs="Arial" w:eastAsia="Arial" w:hAnsi="Arial"/>
          <w:i/>
          <w:iCs/>
          <w:color w:val="1f497d"/>
        </w:rPr>
        <w:t>for any resubmission comments)</w:t>
      </w:r>
    </w:p>
    <w:p>
      <w:pPr>
        <w:pStyle w:val="style0"/>
        <w:spacing w:before="120"/>
        <w:rPr>
          <w:rFonts w:ascii="Arial" w:cs="Arial" w:eastAsia="Arial" w:hAnsi="Arial"/>
          <w:i/>
          <w:iCs/>
          <w:color w:val="1f497d"/>
        </w:rPr>
      </w:pPr>
    </w:p>
    <w:tbl>
      <w:tblPr>
        <w:tblStyle w:val="style154"/>
        <w:tblW w:w="0" w:type="auto"/>
        <w:tblLook w:val="04A0" w:firstRow="1" w:lastRow="0" w:firstColumn="1" w:lastColumn="0" w:noHBand="0" w:noVBand="1"/>
      </w:tblPr>
      <w:tblGrid>
        <w:gridCol w:w="13738"/>
      </w:tblGrid>
      <w:tr>
        <w:trPr/>
        <w:tc>
          <w:tcPr>
            <w:tcW w:w="15126" w:type="dxa"/>
            <w:tcBorders/>
          </w:tcPr>
          <w:p>
            <w:pPr>
              <w:pStyle w:val="style0"/>
              <w:rPr>
                <w:rFonts w:ascii="Arial" w:cs="Arial" w:hAnsi="Arial"/>
                <w:b/>
                <w:bCs/>
                <w:sz w:val="20"/>
                <w:szCs w:val="20"/>
              </w:rPr>
            </w:pPr>
            <w:r>
              <w:rPr>
                <w:rFonts w:ascii="Arial" w:cs="Arial" w:hAnsi="Arial"/>
                <w:b/>
                <w:bCs/>
                <w:sz w:val="20"/>
                <w:szCs w:val="20"/>
              </w:rPr>
              <w:t>OVERALL FEEDBACK SUMMARY</w:t>
            </w:r>
          </w:p>
          <w:p>
            <w:pPr>
              <w:pStyle w:val="style0"/>
              <w:rPr>
                <w:rFonts w:ascii="Arial" w:cs="Arial" w:hAnsi="Arial"/>
                <w:highlight w:val="yellow"/>
              </w:rPr>
            </w:pPr>
          </w:p>
          <w:p>
            <w:pPr>
              <w:pStyle w:val="style0"/>
              <w:rPr>
                <w:rStyle w:val="style4131"/>
                <w:rFonts w:ascii="Trebuchet MS" w:hAnsi="Trebuchet MS"/>
                <w:shd w:val="clear" w:color="auto" w:fill="ffffff"/>
              </w:rPr>
            </w:pPr>
            <w:r>
              <w:rPr>
                <w:rStyle w:val="style4131"/>
                <w:rFonts w:ascii="Trebuchet MS" w:hAnsi="Trebuchet MS"/>
                <w:shd w:val="clear" w:color="auto" w:fill="ffffff"/>
              </w:rPr>
              <w:t>Hi Noura,</w:t>
            </w:r>
          </w:p>
          <w:p>
            <w:pPr>
              <w:pStyle w:val="style0"/>
              <w:rPr>
                <w:rStyle w:val="style4131"/>
                <w:rFonts w:ascii="Trebuchet MS" w:hAnsi="Trebuchet MS"/>
                <w:shd w:val="clear" w:color="auto" w:fill="ffffff"/>
              </w:rPr>
            </w:pPr>
          </w:p>
          <w:p>
            <w:pPr>
              <w:pStyle w:val="style0"/>
              <w:rPr>
                <w:rFonts w:ascii="Trebuchet MS" w:cs="Arial" w:hAnsi="Trebuchet MS"/>
              </w:rPr>
            </w:pPr>
            <w:r>
              <w:rPr>
                <w:rFonts w:ascii="Trebuchet MS" w:cs="Arial" w:hAnsi="Trebuchet MS"/>
              </w:rPr>
              <w:t xml:space="preserve">Thank you for your submission. You have made some good progress so please do not be disheartened with the refer grade as you have the basis for a good assessment. There are still a few areas which require further work and I have provided guidance above which will help you be successful in your next attempt. </w:t>
            </w:r>
          </w:p>
          <w:p>
            <w:pPr>
              <w:pStyle w:val="style0"/>
              <w:rPr>
                <w:rFonts w:ascii="Trebuchet MS" w:cs="Arial" w:hAnsi="Trebuchet MS"/>
                <w:highlight w:val="yellow"/>
              </w:rPr>
            </w:pPr>
          </w:p>
          <w:p>
            <w:pPr>
              <w:pStyle w:val="style0"/>
              <w:rPr>
                <w:rFonts w:ascii="Trebuchet MS" w:cs="Arial" w:eastAsia="Arial" w:hAnsi="Trebuchet MS"/>
                <w:u w:val="single"/>
              </w:rPr>
            </w:pPr>
            <w:r>
              <w:rPr>
                <w:rFonts w:ascii="Trebuchet MS" w:cs="Arial" w:eastAsia="Arial" w:hAnsi="Trebuchet MS"/>
                <w:u w:val="single"/>
              </w:rPr>
              <w:t>Strengths</w:t>
            </w:r>
          </w:p>
          <w:p>
            <w:pPr>
              <w:pStyle w:val="style0"/>
              <w:rPr>
                <w:rFonts w:ascii="Trebuchet MS" w:cs="Arial" w:hAnsi="Trebuchet MS"/>
                <w:highlight w:val="yellow"/>
              </w:rPr>
            </w:pPr>
          </w:p>
          <w:p>
            <w:pPr>
              <w:pStyle w:val="style0"/>
              <w:rPr>
                <w:rFonts w:ascii="Trebuchet MS" w:cs="Arial" w:hAnsi="Trebuchet MS"/>
              </w:rPr>
            </w:pPr>
            <w:r>
              <w:rPr>
                <w:rFonts w:ascii="Trebuchet MS" w:cs="Arial" w:hAnsi="Trebuchet MS"/>
              </w:rPr>
              <w:t xml:space="preserve">This is a nicely presented assessment where you have made appropriate use of the AC numbers as headings. </w:t>
            </w:r>
          </w:p>
          <w:p>
            <w:pPr>
              <w:pStyle w:val="style0"/>
              <w:rPr>
                <w:rFonts w:ascii="Trebuchet MS" w:cs="Arial" w:hAnsi="Trebuchet MS"/>
              </w:rPr>
            </w:pPr>
          </w:p>
          <w:p>
            <w:pPr>
              <w:pStyle w:val="style0"/>
              <w:rPr>
                <w:rFonts w:ascii="Trebuchet MS" w:cs="Arial" w:hAnsi="Trebuchet MS"/>
              </w:rPr>
            </w:pPr>
            <w:r>
              <w:rPr>
                <w:rFonts w:ascii="Trebuchet MS" w:cs="Arial" w:hAnsi="Trebuchet MS"/>
              </w:rPr>
              <w:t>There are no issues with word count, spelling or grammar and your answers are generally clear and well expressed.</w:t>
            </w:r>
          </w:p>
          <w:p>
            <w:pPr>
              <w:pStyle w:val="style0"/>
              <w:rPr>
                <w:rFonts w:ascii="Trebuchet MS" w:cs="Arial" w:hAnsi="Trebuchet MS"/>
              </w:rPr>
            </w:pPr>
          </w:p>
          <w:p>
            <w:pPr>
              <w:pStyle w:val="style0"/>
              <w:rPr>
                <w:rFonts w:ascii="Trebuchet MS" w:cs="Arial" w:hAnsi="Trebuchet MS"/>
              </w:rPr>
            </w:pPr>
            <w:r>
              <w:rPr>
                <w:rFonts w:ascii="Trebuchet MS" w:cs="Arial" w:hAnsi="Trebuchet MS"/>
              </w:rPr>
              <w:t>You have provided a reference page and bibliography, well done.</w:t>
            </w:r>
          </w:p>
          <w:p>
            <w:pPr>
              <w:pStyle w:val="style0"/>
              <w:rPr>
                <w:rFonts w:ascii="Trebuchet MS" w:hAnsi="Trebuchet MS"/>
              </w:rPr>
            </w:pPr>
          </w:p>
          <w:p>
            <w:pPr>
              <w:pStyle w:val="style0"/>
              <w:rPr>
                <w:rFonts w:ascii="Trebuchet MS" w:hAnsi="Trebuchet MS"/>
              </w:rPr>
            </w:pPr>
            <w:r>
              <w:rPr>
                <w:rFonts w:ascii="Trebuchet MS" w:hAnsi="Trebuchet MS"/>
              </w:rPr>
              <w:t>A solid pass has been given in AC 1.4 where you have provided a good assessment of technologies such as electronic care records and online scheduling software.</w:t>
            </w:r>
          </w:p>
          <w:p>
            <w:pPr>
              <w:pStyle w:val="style0"/>
              <w:rPr>
                <w:rFonts w:ascii="Trebuchet MS" w:hAnsi="Trebuchet MS"/>
              </w:rPr>
            </w:pPr>
          </w:p>
          <w:p>
            <w:pPr>
              <w:pStyle w:val="style0"/>
              <w:rPr>
                <w:rFonts w:ascii="Trebuchet MS" w:cs="Arial" w:eastAsia="Arial" w:hAnsi="Trebuchet MS"/>
              </w:rPr>
            </w:pPr>
            <w:r>
              <w:rPr>
                <w:rFonts w:ascii="Trebuchet MS" w:cs="Arial" w:hAnsi="Trebuchet MS"/>
              </w:rPr>
              <w:t xml:space="preserve">Low pass marks have been given where you have provided a sufficient level of knowledge and understanding in respect of the question. For example in AC </w:t>
            </w:r>
            <w:r>
              <w:rPr>
                <w:rFonts w:ascii="Trebuchet MS" w:cs="Arial" w:eastAsia="Arial" w:hAnsi="Trebuchet MS"/>
              </w:rPr>
              <w:t xml:space="preserve">2.5 where you have provided an acceptable assessment of factors such as workload and loss of employee voice and </w:t>
            </w:r>
            <w:r>
              <w:rPr>
                <w:rFonts w:ascii="Trebuchet MS" w:cs="Arial" w:hAnsi="Trebuchet MS"/>
                <w:bCs/>
                <w:szCs w:val="20"/>
              </w:rPr>
              <w:t xml:space="preserve">their impact on employee wellbeing. Please see </w:t>
            </w:r>
            <w:r>
              <w:rPr>
                <w:rFonts w:ascii="Trebuchet MS" w:cs="Arial" w:eastAsia="Arial" w:hAnsi="Trebuchet MS"/>
              </w:rPr>
              <w:t>my development comment below on how a higher mark could be achieved.</w:t>
            </w:r>
          </w:p>
          <w:p>
            <w:pPr>
              <w:pStyle w:val="style0"/>
              <w:rPr>
                <w:rFonts w:ascii="Trebuchet MS" w:cs="Arial" w:eastAsia="Arial" w:hAnsi="Trebuchet MS"/>
              </w:rPr>
            </w:pPr>
          </w:p>
          <w:p>
            <w:pPr>
              <w:pStyle w:val="style0"/>
              <w:rPr>
                <w:rFonts w:ascii="Trebuchet MS" w:cs="Arial" w:eastAsia="Arial" w:hAnsi="Trebuchet MS"/>
              </w:rPr>
            </w:pPr>
            <w:r>
              <w:rPr>
                <w:rFonts w:ascii="Trebuchet MS" w:cs="Arial" w:eastAsia="Arial" w:hAnsi="Trebuchet MS"/>
              </w:rPr>
              <w:t>In AC 3.1 you have sufficiently discussed the role of the People Manager, Recruitment Advisor and Employment Relations Case Advisor in the retention stage of the employee lifecycle.</w:t>
            </w:r>
          </w:p>
          <w:p>
            <w:pPr>
              <w:pStyle w:val="style0"/>
              <w:rPr>
                <w:rFonts w:ascii="Trebuchet MS" w:hAnsi="Trebuchet MS"/>
              </w:rPr>
            </w:pPr>
          </w:p>
          <w:p>
            <w:pPr>
              <w:pStyle w:val="style0"/>
              <w:rPr>
                <w:rFonts w:ascii="Trebuchet MS" w:hAnsi="Trebuchet MS"/>
              </w:rPr>
            </w:pPr>
          </w:p>
          <w:p>
            <w:pPr>
              <w:pStyle w:val="style0"/>
              <w:rPr>
                <w:rFonts w:ascii="Trebuchet MS" w:hAnsi="Trebuchet MS"/>
              </w:rPr>
            </w:pPr>
          </w:p>
          <w:p>
            <w:pPr>
              <w:pStyle w:val="style0"/>
              <w:rPr>
                <w:rFonts w:ascii="Trebuchet MS" w:hAnsi="Trebuchet MS"/>
              </w:rPr>
            </w:pPr>
          </w:p>
          <w:p>
            <w:pPr>
              <w:pStyle w:val="style0"/>
              <w:rPr>
                <w:rFonts w:ascii="Trebuchet MS" w:hAnsi="Trebuchet MS"/>
              </w:rPr>
            </w:pPr>
          </w:p>
          <w:p>
            <w:pPr>
              <w:pStyle w:val="style0"/>
              <w:rPr>
                <w:rFonts w:ascii="Trebuchet MS" w:cs="Arial" w:hAnsi="Trebuchet MS"/>
                <w:u w:val="single"/>
              </w:rPr>
            </w:pPr>
            <w:r>
              <w:rPr>
                <w:rFonts w:ascii="Trebuchet MS" w:cs="Arial" w:hAnsi="Trebuchet MS"/>
                <w:u w:val="single"/>
              </w:rPr>
              <w:t>Areas for development</w:t>
            </w:r>
          </w:p>
          <w:p>
            <w:pPr>
              <w:pStyle w:val="style0"/>
              <w:rPr>
                <w:rFonts w:ascii="Trebuchet MS" w:cs="Arial" w:hAnsi="Trebuchet MS"/>
                <w:highlight w:val="yellow"/>
              </w:rPr>
            </w:pPr>
          </w:p>
          <w:p>
            <w:pPr>
              <w:pStyle w:val="style0"/>
              <w:rPr>
                <w:rFonts w:ascii="Trebuchet MS" w:cs="Arial" w:hAnsi="Trebuchet MS"/>
              </w:rPr>
            </w:pPr>
            <w:r>
              <w:rPr>
                <w:rFonts w:ascii="Trebuchet MS" w:cs="Arial" w:hAnsi="Trebuchet MS"/>
              </w:rPr>
              <w:t xml:space="preserve">At this level of study, please ensure the use of a good range of quality and current academic sources. This will add depth and credibility to your responses as they are based on research, studies and are peer reviewed. You can access journals on the CIPD website for free as a studying member. It is important that you evidence the use of appropriate wider reading and research within every answer, for example in AC 2.2 you have cited Shelton, 2021 although this article appears to relate to racial inequality. Similarly in AC 2.3 the relevance of Adeleke, 2025 is unclear and Yuen, 2024 does not relate to the points raised in your answer in AC 1.3. </w:t>
            </w:r>
          </w:p>
          <w:p>
            <w:pPr>
              <w:pStyle w:val="style0"/>
              <w:rPr>
                <w:rFonts w:ascii="Trebuchet MS" w:hAnsi="Trebuchet MS"/>
              </w:rPr>
            </w:pPr>
          </w:p>
          <w:p>
            <w:pPr>
              <w:pStyle w:val="style0"/>
              <w:rPr>
                <w:rFonts w:ascii="Trebuchet MS" w:hAnsi="Trebuchet MS"/>
              </w:rPr>
            </w:pPr>
            <w:r>
              <w:rPr>
                <w:rFonts w:ascii="Trebuchet MS" w:hAnsi="Trebuchet MS"/>
              </w:rPr>
              <w:t>A higher mark could be achieved in AC 2.5 by underpinning your answer with the CIPD’s 7 domains of wellbeing or the CIPD’s Good Work Index. There was also scope to explain the impact of your chosen factors on the psychological contract to further strengthen your answer.</w:t>
            </w:r>
          </w:p>
          <w:p>
            <w:pPr>
              <w:pStyle w:val="style0"/>
              <w:rPr>
                <w:rFonts w:ascii="Trebuchet MS" w:hAnsi="Trebuchet MS"/>
              </w:rPr>
            </w:pPr>
          </w:p>
          <w:p>
            <w:pPr>
              <w:pStyle w:val="style0"/>
              <w:rPr>
                <w:rFonts w:ascii="Trebuchet MS" w:hAnsi="Trebuchet MS"/>
              </w:rPr>
            </w:pPr>
            <w:r>
              <w:rPr>
                <w:rFonts w:ascii="Trebuchet MS" w:hAnsi="Trebuchet MS"/>
              </w:rPr>
              <w:t>In AC 3.1 you could have expanded on the role of the People Manager in the retention stage as this is rather brief.</w:t>
            </w:r>
          </w:p>
          <w:p>
            <w:pPr>
              <w:pStyle w:val="style0"/>
              <w:rPr>
                <w:rFonts w:ascii="Trebuchet MS" w:hAnsi="Trebuchet MS"/>
              </w:rPr>
            </w:pPr>
          </w:p>
          <w:p>
            <w:pPr>
              <w:pStyle w:val="style0"/>
              <w:rPr>
                <w:rFonts w:ascii="Trebuchet MS" w:hAnsi="Trebuchet MS"/>
              </w:rPr>
            </w:pPr>
            <w:r>
              <w:rPr>
                <w:rFonts w:ascii="Trebuchet MS" w:hAnsi="Trebuchet MS"/>
              </w:rPr>
              <w:t>Please also ensure you include relevant theoretical frameworks, for example in AC 2.1 where you have explained a theory of change management.</w:t>
            </w:r>
          </w:p>
          <w:p>
            <w:pPr>
              <w:pStyle w:val="style0"/>
              <w:rPr>
                <w:rFonts w:ascii="Trebuchet MS" w:cs="Arial" w:hAnsi="Trebuchet MS"/>
              </w:rPr>
            </w:pPr>
          </w:p>
          <w:p>
            <w:pPr>
              <w:pStyle w:val="style0"/>
              <w:rPr>
                <w:rFonts w:ascii="Trebuchet MS" w:hAnsi="Trebuchet MS"/>
              </w:rPr>
            </w:pPr>
            <w:r>
              <w:rPr>
                <w:rFonts w:ascii="Trebuchet MS" w:hAnsi="Trebuchet MS"/>
              </w:rPr>
              <w:t xml:space="preserve">Please note the key command verb for each AC, for example, analyse, evaluate etc. The key command verb tells you </w:t>
            </w:r>
            <w:r>
              <w:rPr>
                <w:rFonts w:ascii="Trebuchet MS" w:hAnsi="Trebuchet MS"/>
                <w:i/>
                <w:iCs/>
              </w:rPr>
              <w:t>how</w:t>
            </w:r>
            <w:r>
              <w:rPr>
                <w:rFonts w:ascii="Trebuchet MS" w:hAnsi="Trebuchet MS"/>
              </w:rPr>
              <w:t xml:space="preserve"> to respond to the question. Most questions at this level of study require you to demonstrate your knowledge to a fairly in-depth degree with more analysis and evaluation of the key concepts. For example, AC 1.1 requires an evaluation so you need to consider the advantages and disadvantages associated with both types of organisational structures.</w:t>
            </w:r>
          </w:p>
          <w:p>
            <w:pPr>
              <w:pStyle w:val="style0"/>
              <w:rPr>
                <w:rFonts w:ascii="Trebuchet MS" w:hAnsi="Trebuchet MS"/>
              </w:rPr>
            </w:pPr>
          </w:p>
          <w:p>
            <w:pPr>
              <w:pStyle w:val="style0"/>
              <w:rPr>
                <w:rFonts w:ascii="Trebuchet MS" w:cs="Arial" w:hAnsi="Trebuchet MS"/>
              </w:rPr>
            </w:pPr>
            <w:r>
              <w:rPr>
                <w:rFonts w:ascii="Trebuchet MS" w:cs="Arial" w:hAnsi="Trebuchet MS"/>
              </w:rPr>
              <w:t>Please ensure all sources are included in the reference page as some have been omitted. I recommend that you review the guidance in the Resource Area on the VLE to help you refine your referencing technique.</w:t>
            </w:r>
          </w:p>
          <w:p>
            <w:pPr>
              <w:pStyle w:val="style0"/>
              <w:rPr>
                <w:rFonts w:ascii="Trebuchet MS" w:cs="Arial" w:hAnsi="Trebuchet MS"/>
                <w:highlight w:val="yellow"/>
              </w:rPr>
            </w:pPr>
          </w:p>
          <w:p>
            <w:pPr>
              <w:pStyle w:val="style0"/>
              <w:rPr>
                <w:rFonts w:ascii="Trebuchet MS" w:cs="Arial" w:eastAsia="Arial" w:hAnsi="Trebuchet MS"/>
              </w:rPr>
            </w:pPr>
            <w:r>
              <w:rPr>
                <w:rFonts w:ascii="Trebuchet MS" w:cs="Arial" w:eastAsia="Arial" w:hAnsi="Trebuchet MS"/>
              </w:rPr>
              <w:t xml:space="preserve">Please follow the resubmission guidance above and upload your resubmission within three weeks. It is recommended that you refer back to the Topic Essentials, Assessment briefing webinar or the Assessment guide video. You will also find useful information on referencing within the learner resource zone, and these will support you with any changes needed to achieve a pass grade. </w:t>
            </w:r>
          </w:p>
          <w:p>
            <w:pPr>
              <w:pStyle w:val="style0"/>
              <w:rPr>
                <w:rFonts w:ascii="Trebuchet MS" w:cs="Arial" w:eastAsia="Arial" w:hAnsi="Trebuchet MS"/>
              </w:rPr>
            </w:pPr>
          </w:p>
          <w:p>
            <w:pPr>
              <w:pStyle w:val="style0"/>
              <w:rPr>
                <w:rFonts w:ascii="Trebuchet MS" w:cs="Arial" w:eastAsia="Arial" w:hAnsi="Trebuchet MS"/>
              </w:rPr>
            </w:pPr>
            <w:r>
              <w:rPr>
                <w:rFonts w:ascii="Trebuchet MS" w:cs="Arial" w:eastAsia="Arial" w:hAnsi="Trebuchet MS"/>
              </w:rPr>
              <w:t>We look forward to receiving your resubmission, keep up the hard work.</w:t>
            </w:r>
          </w:p>
          <w:p>
            <w:pPr>
              <w:pStyle w:val="style0"/>
              <w:rPr>
                <w:rFonts w:ascii="Trebuchet MS" w:cs="Arial" w:eastAsia="Arial" w:hAnsi="Trebuchet MS"/>
              </w:rPr>
            </w:pPr>
          </w:p>
          <w:p>
            <w:pPr>
              <w:pStyle w:val="style0"/>
              <w:rPr>
                <w:rFonts w:ascii="Trebuchet MS" w:cs="Arial" w:eastAsia="Arial" w:hAnsi="Trebuchet MS"/>
              </w:rPr>
            </w:pPr>
            <w:r>
              <w:rPr>
                <w:rFonts w:ascii="Trebuchet MS" w:cs="Arial" w:eastAsia="Arial" w:hAnsi="Trebuchet MS"/>
              </w:rPr>
              <w:t>Best wishes</w:t>
            </w:r>
          </w:p>
          <w:p>
            <w:pPr>
              <w:pStyle w:val="style0"/>
              <w:rPr>
                <w:rFonts w:ascii="Trebuchet MS" w:cs="Arial" w:eastAsia="Arial" w:hAnsi="Trebuchet MS"/>
              </w:rPr>
            </w:pPr>
          </w:p>
          <w:p>
            <w:pPr>
              <w:pStyle w:val="style0"/>
              <w:rPr>
                <w:rFonts w:ascii="Trebuchet MS" w:cs="Arial" w:eastAsia="Arial" w:hAnsi="Trebuchet MS"/>
              </w:rPr>
            </w:pPr>
            <w:r>
              <w:rPr>
                <w:rFonts w:ascii="Trebuchet MS" w:cs="Arial" w:eastAsia="Arial" w:hAnsi="Trebuchet MS"/>
              </w:rPr>
              <w:t xml:space="preserve">Loretta </w:t>
            </w:r>
          </w:p>
        </w:tc>
      </w:tr>
    </w:tbl>
    <w:p>
      <w:pPr>
        <w:pStyle w:val="style0"/>
        <w:rPr>
          <w:rFonts w:ascii="Arial" w:cs="Arial" w:hAnsi="Arial"/>
          <w:highlight w:val="yellow"/>
        </w:rPr>
      </w:pPr>
    </w:p>
    <w:bookmarkStart w:id="14" w:name="_Hlk107924888"/>
    <w:tbl>
      <w:tblPr>
        <w:tblStyle w:val="style154"/>
        <w:tblW w:w="0" w:type="auto"/>
        <w:tblLook w:val="04A0" w:firstRow="1" w:lastRow="0" w:firstColumn="1" w:lastColumn="0" w:noHBand="0" w:noVBand="1"/>
      </w:tblPr>
      <w:tblGrid>
        <w:gridCol w:w="4390"/>
        <w:gridCol w:w="1559"/>
        <w:gridCol w:w="1984"/>
        <w:gridCol w:w="1134"/>
      </w:tblGrid>
      <w:tr>
        <w:trPr>
          <w:trHeight w:val="690" w:hRule="atLeast"/>
        </w:trPr>
        <w:tc>
          <w:tcPr>
            <w:tcW w:w="4390" w:type="dxa"/>
            <w:tcBorders/>
          </w:tcPr>
          <w:p>
            <w:pPr>
              <w:pStyle w:val="style0"/>
              <w:spacing w:before="120" w:after="120"/>
              <w:rPr>
                <w:rFonts w:ascii="Arial" w:cs="Arial" w:hAnsi="Arial"/>
                <w:i/>
                <w:iCs/>
                <w:sz w:val="16"/>
                <w:szCs w:val="16"/>
              </w:rPr>
            </w:pPr>
            <w:r>
              <w:rPr>
                <w:rFonts w:ascii="Arial" w:cs="Arial" w:hAnsi="Arial"/>
                <w:b/>
                <w:sz w:val="20"/>
                <w:szCs w:val="20"/>
              </w:rPr>
              <w:t xml:space="preserve">Total Marks for Unit </w:t>
            </w:r>
            <w:r>
              <w:rPr>
                <w:rFonts w:ascii="Arial" w:cs="Arial" w:hAnsi="Arial"/>
                <w:sz w:val="16"/>
                <w:szCs w:val="16"/>
              </w:rPr>
              <w:t>(</w:t>
            </w:r>
            <w:r>
              <w:rPr>
                <w:rFonts w:ascii="Arial" w:cs="Arial" w:hAnsi="Arial"/>
                <w:i/>
                <w:iCs/>
                <w:sz w:val="16"/>
                <w:szCs w:val="16"/>
              </w:rPr>
              <w:t>your grade is provisional until moderated and confirmed by the CIPD)</w:t>
            </w:r>
          </w:p>
          <w:p>
            <w:pPr>
              <w:pStyle w:val="style0"/>
              <w:spacing w:before="120"/>
              <w:rPr>
                <w:rFonts w:ascii="Arial" w:cs="Arial" w:hAnsi="Arial"/>
                <w:i/>
                <w:iCs/>
                <w:sz w:val="16"/>
                <w:szCs w:val="16"/>
              </w:rPr>
            </w:pPr>
          </w:p>
        </w:tc>
        <w:tc>
          <w:tcPr>
            <w:tcW w:w="1559" w:type="dxa"/>
            <w:tcBorders/>
          </w:tcPr>
          <w:p>
            <w:pPr>
              <w:pStyle w:val="style0"/>
              <w:spacing w:before="120"/>
              <w:jc w:val="center"/>
              <w:rPr>
                <w:rFonts w:ascii="Arial" w:cs="Arial" w:hAnsi="Arial"/>
                <w:b/>
                <w:sz w:val="20"/>
                <w:szCs w:val="20"/>
              </w:rPr>
            </w:pPr>
            <w:r>
              <w:rPr>
                <w:rFonts w:ascii="Arial" w:cs="Arial" w:hAnsi="Arial"/>
                <w:b/>
                <w:sz w:val="20"/>
                <w:szCs w:val="20"/>
              </w:rPr>
              <w:t>2</w:t>
            </w:r>
            <w:r>
              <w:rPr>
                <w:rFonts w:ascii="Arial" w:cs="Arial" w:hAnsi="Arial"/>
                <w:b/>
                <w:sz w:val="20"/>
                <w:szCs w:val="20"/>
              </w:rPr>
              <w:t>1</w:t>
            </w:r>
          </w:p>
        </w:tc>
        <w:tc>
          <w:tcPr>
            <w:tcW w:w="1984" w:type="dxa"/>
            <w:tcBorders/>
          </w:tcPr>
          <w:p>
            <w:pPr>
              <w:pStyle w:val="style0"/>
              <w:spacing w:before="120"/>
              <w:rPr>
                <w:rFonts w:ascii="Arial" w:cs="Arial" w:hAnsi="Arial"/>
                <w:b/>
                <w:sz w:val="20"/>
                <w:szCs w:val="20"/>
              </w:rPr>
            </w:pPr>
            <w:r>
              <w:rPr>
                <w:rFonts w:ascii="Arial" w:cs="Arial" w:hAnsi="Arial"/>
                <w:b/>
                <w:sz w:val="20"/>
                <w:szCs w:val="20"/>
              </w:rPr>
              <w:t>Grade</w:t>
            </w:r>
          </w:p>
        </w:tc>
        <w:tc>
          <w:tcPr>
            <w:tcW w:w="1134" w:type="dxa"/>
            <w:tcBorders/>
          </w:tcPr>
          <w:p>
            <w:pPr>
              <w:pStyle w:val="style0"/>
              <w:spacing w:before="120"/>
              <w:jc w:val="center"/>
              <w:rPr>
                <w:rFonts w:ascii="Arial" w:cs="Arial" w:hAnsi="Arial"/>
                <w:b/>
                <w:sz w:val="20"/>
                <w:szCs w:val="20"/>
              </w:rPr>
            </w:pPr>
            <w:r>
              <w:rPr>
                <w:rFonts w:ascii="Arial" w:cs="Arial" w:hAnsi="Arial"/>
                <w:b/>
                <w:sz w:val="20"/>
                <w:szCs w:val="20"/>
              </w:rPr>
              <w:t>Refer</w:t>
            </w:r>
          </w:p>
        </w:tc>
      </w:tr>
      <w:tr>
        <w:tblPrEx/>
        <w:trPr>
          <w:trHeight w:val="904" w:hRule="atLeast"/>
        </w:trPr>
        <w:tc>
          <w:tcPr>
            <w:tcW w:w="4390" w:type="dxa"/>
            <w:tcBorders/>
          </w:tcPr>
          <w:p>
            <w:pPr>
              <w:pStyle w:val="style0"/>
              <w:spacing w:before="120" w:after="120"/>
              <w:rPr>
                <w:rFonts w:ascii="Arial" w:cs="Arial" w:hAnsi="Arial"/>
                <w:i/>
                <w:iCs/>
                <w:sz w:val="16"/>
                <w:szCs w:val="16"/>
              </w:rPr>
            </w:pPr>
            <w:r>
              <w:rPr>
                <w:rFonts w:ascii="Arial" w:cs="Arial" w:hAnsi="Arial"/>
                <w:b/>
                <w:sz w:val="20"/>
                <w:szCs w:val="20"/>
              </w:rPr>
              <w:t xml:space="preserve">Total Marks for first Resubmission  </w:t>
            </w:r>
          </w:p>
        </w:tc>
        <w:tc>
          <w:tcPr>
            <w:tcW w:w="1559" w:type="dxa"/>
            <w:tcBorders/>
          </w:tcPr>
          <w:p>
            <w:pPr>
              <w:pStyle w:val="style0"/>
              <w:spacing w:before="120"/>
              <w:jc w:val="center"/>
              <w:rPr>
                <w:rFonts w:ascii="Arial" w:cs="Arial" w:hAnsi="Arial"/>
                <w:b/>
                <w:sz w:val="20"/>
                <w:szCs w:val="20"/>
              </w:rPr>
            </w:pPr>
          </w:p>
        </w:tc>
        <w:tc>
          <w:tcPr>
            <w:tcW w:w="1984" w:type="dxa"/>
            <w:tcBorders/>
          </w:tcPr>
          <w:p>
            <w:pPr>
              <w:pStyle w:val="style0"/>
              <w:spacing w:before="120"/>
              <w:rPr>
                <w:rFonts w:ascii="Arial" w:cs="Arial" w:hAnsi="Arial"/>
                <w:b/>
                <w:sz w:val="20"/>
                <w:szCs w:val="20"/>
              </w:rPr>
            </w:pPr>
            <w:r>
              <w:rPr>
                <w:rFonts w:ascii="Arial" w:cs="Arial" w:hAnsi="Arial"/>
                <w:b/>
                <w:sz w:val="20"/>
                <w:szCs w:val="20"/>
              </w:rPr>
              <w:t>Grade</w:t>
            </w:r>
          </w:p>
        </w:tc>
        <w:tc>
          <w:tcPr>
            <w:tcW w:w="1134" w:type="dxa"/>
            <w:tcBorders/>
          </w:tcPr>
          <w:p>
            <w:pPr>
              <w:pStyle w:val="style0"/>
              <w:jc w:val="center"/>
              <w:rPr>
                <w:rFonts w:ascii="Arial" w:cs="Arial" w:hAnsi="Arial"/>
                <w:b/>
                <w:sz w:val="20"/>
                <w:szCs w:val="20"/>
              </w:rPr>
            </w:pPr>
          </w:p>
        </w:tc>
      </w:tr>
      <w:tr>
        <w:tblPrEx/>
        <w:trPr>
          <w:trHeight w:val="690" w:hRule="atLeast"/>
        </w:trPr>
        <w:tc>
          <w:tcPr>
            <w:tcW w:w="4390" w:type="dxa"/>
            <w:tcBorders/>
          </w:tcPr>
          <w:p>
            <w:pPr>
              <w:pStyle w:val="style0"/>
              <w:spacing w:before="120" w:after="120"/>
              <w:rPr>
                <w:rFonts w:ascii="Arial" w:cs="Arial" w:hAnsi="Arial"/>
                <w:i/>
                <w:iCs/>
                <w:sz w:val="16"/>
                <w:szCs w:val="16"/>
              </w:rPr>
            </w:pPr>
            <w:r>
              <w:rPr>
                <w:rFonts w:ascii="Arial" w:cs="Arial" w:hAnsi="Arial"/>
                <w:b/>
                <w:sz w:val="20"/>
                <w:szCs w:val="20"/>
              </w:rPr>
              <w:t xml:space="preserve">Total Marks for second Resubmission  </w:t>
            </w:r>
          </w:p>
        </w:tc>
        <w:tc>
          <w:tcPr>
            <w:tcW w:w="1559" w:type="dxa"/>
            <w:tcBorders/>
          </w:tcPr>
          <w:p>
            <w:pPr>
              <w:pStyle w:val="style0"/>
              <w:spacing w:before="120"/>
              <w:jc w:val="center"/>
              <w:rPr>
                <w:rFonts w:ascii="Arial" w:cs="Arial" w:hAnsi="Arial"/>
                <w:b/>
                <w:sz w:val="20"/>
                <w:szCs w:val="20"/>
              </w:rPr>
            </w:pPr>
          </w:p>
        </w:tc>
        <w:tc>
          <w:tcPr>
            <w:tcW w:w="1984" w:type="dxa"/>
            <w:tcBorders/>
          </w:tcPr>
          <w:p>
            <w:pPr>
              <w:pStyle w:val="style0"/>
              <w:spacing w:before="120"/>
              <w:rPr>
                <w:rFonts w:ascii="Arial" w:cs="Arial" w:hAnsi="Arial"/>
                <w:b/>
                <w:sz w:val="20"/>
                <w:szCs w:val="20"/>
              </w:rPr>
            </w:pPr>
            <w:r>
              <w:rPr>
                <w:rFonts w:ascii="Arial" w:cs="Arial" w:hAnsi="Arial"/>
                <w:b/>
                <w:sz w:val="20"/>
                <w:szCs w:val="20"/>
              </w:rPr>
              <w:t>Grade</w:t>
            </w:r>
          </w:p>
        </w:tc>
        <w:tc>
          <w:tcPr>
            <w:tcW w:w="1134" w:type="dxa"/>
            <w:tcBorders/>
          </w:tcPr>
          <w:p>
            <w:pPr>
              <w:pStyle w:val="style0"/>
              <w:jc w:val="center"/>
              <w:rPr>
                <w:rFonts w:ascii="Arial" w:cs="Arial" w:hAnsi="Arial"/>
                <w:b/>
                <w:sz w:val="20"/>
                <w:szCs w:val="20"/>
              </w:rPr>
            </w:pPr>
          </w:p>
        </w:tc>
      </w:tr>
      <w:bookmarkEnd w:id="14"/>
    </w:tbl>
    <w:p>
      <w:pPr>
        <w:pStyle w:val="style0"/>
        <w:rPr>
          <w:rFonts w:ascii="Arial" w:cs="Arial" w:hAnsi="Arial"/>
          <w:highlight w:val="yellow"/>
        </w:rPr>
      </w:pPr>
    </w:p>
    <w:bookmarkStart w:id="15" w:name="_Hlk107924920"/>
    <w:tbl>
      <w:tblPr>
        <w:tblStyle w:val="style154"/>
        <w:tblW w:w="0" w:type="auto"/>
        <w:tblLook w:val="04A0" w:firstRow="1" w:lastRow="0" w:firstColumn="1" w:lastColumn="0" w:noHBand="0" w:noVBand="1"/>
      </w:tblPr>
      <w:tblGrid>
        <w:gridCol w:w="3314"/>
        <w:gridCol w:w="3475"/>
        <w:gridCol w:w="3476"/>
        <w:gridCol w:w="3476"/>
      </w:tblGrid>
      <w:tr>
        <w:trPr>
          <w:trHeight w:val="173" w:hRule="atLeast"/>
        </w:trPr>
        <w:tc>
          <w:tcPr>
            <w:tcW w:w="3681" w:type="dxa"/>
            <w:vMerge w:val="restart"/>
            <w:tcBorders/>
          </w:tcPr>
          <w:p>
            <w:pPr>
              <w:pStyle w:val="style0"/>
              <w:spacing w:before="120"/>
              <w:rPr>
                <w:rFonts w:ascii="Arial" w:cs="Arial" w:hAnsi="Arial"/>
                <w:b/>
                <w:bCs/>
                <w:sz w:val="20"/>
                <w:szCs w:val="20"/>
              </w:rPr>
            </w:pPr>
            <w:r>
              <w:rPr>
                <w:rFonts w:ascii="Arial" w:cs="Arial" w:hAnsi="Arial"/>
                <w:b/>
                <w:bCs/>
                <w:sz w:val="20"/>
                <w:szCs w:val="20"/>
              </w:rPr>
              <w:t>Assessor name</w:t>
            </w:r>
          </w:p>
          <w:p>
            <w:pPr>
              <w:pStyle w:val="style0"/>
              <w:spacing w:before="120"/>
              <w:rPr>
                <w:rFonts w:ascii="Arial" w:cs="Arial" w:hAnsi="Arial"/>
                <w:b/>
                <w:bCs/>
                <w:sz w:val="20"/>
                <w:szCs w:val="20"/>
              </w:rPr>
            </w:pPr>
          </w:p>
          <w:p>
            <w:pPr>
              <w:pStyle w:val="style0"/>
              <w:spacing w:before="120"/>
              <w:rPr>
                <w:rFonts w:ascii="Arial" w:cs="Arial" w:hAnsi="Arial"/>
                <w:b/>
                <w:bCs/>
                <w:sz w:val="20"/>
                <w:szCs w:val="20"/>
              </w:rPr>
            </w:pPr>
          </w:p>
          <w:p>
            <w:pPr>
              <w:pStyle w:val="style0"/>
              <w:spacing w:before="120"/>
              <w:rPr>
                <w:rFonts w:ascii="Arial" w:cs="Arial" w:hAnsi="Arial"/>
                <w:b/>
                <w:bCs/>
                <w:sz w:val="20"/>
                <w:szCs w:val="20"/>
              </w:rPr>
            </w:pPr>
          </w:p>
        </w:tc>
        <w:tc>
          <w:tcPr>
            <w:tcW w:w="3815" w:type="dxa"/>
            <w:tcBorders/>
          </w:tcPr>
          <w:p>
            <w:pPr>
              <w:pStyle w:val="style0"/>
              <w:rPr>
                <w:rFonts w:ascii="Arial" w:cs="Arial" w:hAnsi="Arial"/>
                <w:b/>
                <w:bCs/>
                <w:sz w:val="20"/>
                <w:szCs w:val="20"/>
              </w:rPr>
            </w:pPr>
            <w:r>
              <w:rPr>
                <w:rFonts w:ascii="Arial" w:cs="Arial" w:hAnsi="Arial"/>
                <w:b/>
                <w:bCs/>
                <w:sz w:val="20"/>
                <w:szCs w:val="20"/>
              </w:rPr>
              <w:t>Submission</w:t>
            </w:r>
          </w:p>
          <w:p>
            <w:pPr>
              <w:pStyle w:val="style0"/>
              <w:rPr>
                <w:rFonts w:ascii="Arial" w:cs="Arial" w:hAnsi="Arial"/>
                <w:b/>
                <w:bCs/>
                <w:sz w:val="20"/>
                <w:szCs w:val="20"/>
              </w:rPr>
            </w:pPr>
          </w:p>
        </w:tc>
        <w:tc>
          <w:tcPr>
            <w:tcW w:w="3815" w:type="dxa"/>
            <w:tcBorders/>
          </w:tcPr>
          <w:p>
            <w:pPr>
              <w:pStyle w:val="style0"/>
              <w:rPr>
                <w:rFonts w:ascii="Arial" w:cs="Arial" w:hAnsi="Arial"/>
                <w:b/>
                <w:bCs/>
                <w:sz w:val="20"/>
                <w:szCs w:val="20"/>
              </w:rPr>
            </w:pPr>
            <w:r>
              <w:rPr>
                <w:rFonts w:ascii="Arial" w:cs="Arial" w:hAnsi="Arial"/>
                <w:b/>
                <w:bCs/>
                <w:sz w:val="20"/>
                <w:szCs w:val="20"/>
              </w:rPr>
              <w:t>Resubmission 1</w:t>
            </w:r>
          </w:p>
        </w:tc>
        <w:tc>
          <w:tcPr>
            <w:tcW w:w="3815" w:type="dxa"/>
            <w:tcBorders/>
          </w:tcPr>
          <w:p>
            <w:pPr>
              <w:pStyle w:val="style0"/>
              <w:rPr>
                <w:rFonts w:ascii="Arial" w:cs="Arial" w:hAnsi="Arial"/>
                <w:b/>
                <w:bCs/>
                <w:sz w:val="20"/>
                <w:szCs w:val="20"/>
              </w:rPr>
            </w:pPr>
            <w:r>
              <w:rPr>
                <w:rFonts w:ascii="Arial" w:cs="Arial" w:hAnsi="Arial"/>
                <w:b/>
                <w:bCs/>
                <w:sz w:val="20"/>
                <w:szCs w:val="20"/>
              </w:rPr>
              <w:t>Resubmission 2</w:t>
            </w:r>
          </w:p>
        </w:tc>
      </w:tr>
      <w:tr>
        <w:tblPrEx/>
        <w:trPr>
          <w:trHeight w:val="172" w:hRule="atLeast"/>
        </w:trPr>
        <w:tc>
          <w:tcPr>
            <w:tcW w:w="3681" w:type="dxa"/>
            <w:vMerge w:val="continue"/>
            <w:tcBorders/>
          </w:tcPr>
          <w:p>
            <w:pPr>
              <w:pStyle w:val="style0"/>
              <w:spacing w:before="120"/>
              <w:rPr>
                <w:rFonts w:ascii="Arial" w:cs="Arial" w:hAnsi="Arial"/>
                <w:b/>
                <w:bCs/>
                <w:sz w:val="20"/>
                <w:szCs w:val="20"/>
              </w:rPr>
            </w:pPr>
          </w:p>
        </w:tc>
        <w:tc>
          <w:tcPr>
            <w:tcW w:w="3815" w:type="dxa"/>
            <w:tcBorders/>
          </w:tcPr>
          <w:p>
            <w:pPr>
              <w:pStyle w:val="style0"/>
              <w:rPr>
                <w:rFonts w:ascii="Arial" w:cs="Arial" w:hAnsi="Arial"/>
                <w:b/>
                <w:bCs/>
                <w:sz w:val="20"/>
                <w:szCs w:val="20"/>
              </w:rPr>
            </w:pPr>
            <w:r>
              <w:rPr>
                <w:rFonts w:ascii="Arial" w:cs="Arial" w:hAnsi="Arial"/>
                <w:b/>
                <w:bCs/>
                <w:sz w:val="20"/>
                <w:szCs w:val="20"/>
              </w:rPr>
              <w:t>Loretta McKay</w:t>
            </w:r>
          </w:p>
        </w:tc>
        <w:tc>
          <w:tcPr>
            <w:tcW w:w="3815" w:type="dxa"/>
            <w:tcBorders/>
          </w:tcPr>
          <w:p>
            <w:pPr>
              <w:pStyle w:val="style0"/>
              <w:rPr>
                <w:rFonts w:ascii="Arial" w:cs="Arial" w:hAnsi="Arial"/>
                <w:b/>
                <w:bCs/>
                <w:sz w:val="20"/>
                <w:szCs w:val="20"/>
              </w:rPr>
            </w:pPr>
          </w:p>
        </w:tc>
        <w:tc>
          <w:tcPr>
            <w:tcW w:w="3815" w:type="dxa"/>
            <w:tcBorders/>
          </w:tcPr>
          <w:p>
            <w:pPr>
              <w:pStyle w:val="style0"/>
              <w:rPr>
                <w:rFonts w:ascii="Arial" w:cs="Arial" w:hAnsi="Arial"/>
                <w:b/>
                <w:bCs/>
                <w:sz w:val="20"/>
                <w:szCs w:val="20"/>
              </w:rPr>
            </w:pPr>
          </w:p>
        </w:tc>
      </w:tr>
      <w:bookmarkEnd w:id="15"/>
      <w:tr>
        <w:tblPrEx/>
        <w:trPr>
          <w:trHeight w:val="173" w:hRule="atLeast"/>
        </w:trPr>
        <w:tc>
          <w:tcPr>
            <w:tcW w:w="3681" w:type="dxa"/>
            <w:tcBorders/>
          </w:tcPr>
          <w:p>
            <w:pPr>
              <w:pStyle w:val="style0"/>
              <w:spacing w:before="120"/>
              <w:rPr>
                <w:rFonts w:ascii="Arial" w:cs="Arial" w:hAnsi="Arial"/>
                <w:b/>
                <w:bCs/>
                <w:sz w:val="20"/>
                <w:szCs w:val="20"/>
              </w:rPr>
            </w:pPr>
            <w:r>
              <w:rPr>
                <w:rFonts w:ascii="Arial" w:cs="Arial" w:hAnsi="Arial"/>
                <w:b/>
                <w:bCs/>
                <w:sz w:val="20"/>
                <w:szCs w:val="20"/>
              </w:rPr>
              <w:t>Assessor signature*</w:t>
            </w:r>
          </w:p>
          <w:p>
            <w:pPr>
              <w:pStyle w:val="style0"/>
              <w:spacing w:before="120"/>
              <w:rPr>
                <w:rFonts w:ascii="Arial" w:cs="Arial" w:hAnsi="Arial"/>
                <w:i/>
                <w:iCs/>
                <w:sz w:val="18"/>
                <w:szCs w:val="18"/>
              </w:rPr>
            </w:pPr>
            <w:r>
              <w:rPr>
                <w:rFonts w:ascii="Arial" w:cs="Arial" w:hAnsi="Arial"/>
                <w:i/>
                <w:iCs/>
                <w:sz w:val="18"/>
                <w:szCs w:val="18"/>
              </w:rPr>
              <w:t>I confirm that I am satisfied that to the best of my knowledge, the work produced is solely that of the learner.</w:t>
            </w:r>
          </w:p>
          <w:p>
            <w:pPr>
              <w:pStyle w:val="style0"/>
              <w:spacing w:before="120"/>
              <w:rPr>
                <w:rFonts w:ascii="Arial" w:cs="Arial" w:hAnsi="Arial"/>
                <w:b/>
                <w:bCs/>
                <w:sz w:val="20"/>
                <w:szCs w:val="20"/>
              </w:rPr>
            </w:pPr>
          </w:p>
        </w:tc>
        <w:tc>
          <w:tcPr>
            <w:tcW w:w="3815" w:type="dxa"/>
            <w:tcBorders/>
          </w:tcPr>
          <w:p>
            <w:pPr>
              <w:pStyle w:val="style0"/>
              <w:rPr>
                <w:rFonts w:ascii="Arial" w:cs="Arial" w:hAnsi="Arial"/>
                <w:b/>
                <w:bCs/>
                <w:sz w:val="20"/>
                <w:szCs w:val="20"/>
              </w:rPr>
            </w:pPr>
            <w:r>
              <w:rPr>
                <w:rFonts w:cs="Arial"/>
                <w:noProof/>
              </w:rPr>
              <w:drawing>
                <wp:inline distL="0" distT="0" distB="0" distR="0">
                  <wp:extent cx="809896" cy="236220"/>
                  <wp:effectExtent l="0" t="0" r="9525" b="0"/>
                  <wp:docPr id="1027" name="Picture 881201674"/>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Picture 881201674"/>
                          <pic:cNvPicPr/>
                        </pic:nvPicPr>
                        <pic:blipFill>
                          <a:blip r:embed="rId4" cstate="print"/>
                          <a:srcRect l="0" t="0" r="0" b="0"/>
                          <a:stretch/>
                        </pic:blipFill>
                        <pic:spPr>
                          <a:xfrm rot="0">
                            <a:off x="0" y="0"/>
                            <a:ext cx="809896" cy="236220"/>
                          </a:xfrm>
                          <a:prstGeom prst="rect"/>
                          <a:ln>
                            <a:noFill/>
                          </a:ln>
                        </pic:spPr>
                      </pic:pic>
                    </a:graphicData>
                  </a:graphic>
                </wp:inline>
              </w:drawing>
            </w:r>
          </w:p>
          <w:p>
            <w:pPr>
              <w:pStyle w:val="style0"/>
              <w:rPr>
                <w:rFonts w:ascii="Arial" w:cs="Arial" w:hAnsi="Arial"/>
                <w:sz w:val="20"/>
                <w:szCs w:val="20"/>
              </w:rPr>
            </w:pPr>
          </w:p>
        </w:tc>
        <w:tc>
          <w:tcPr>
            <w:tcW w:w="3815" w:type="dxa"/>
            <w:tcBorders/>
          </w:tcPr>
          <w:p>
            <w:pPr>
              <w:pStyle w:val="style0"/>
              <w:rPr>
                <w:rFonts w:ascii="Arial" w:cs="Arial" w:hAnsi="Arial"/>
                <w:b/>
                <w:bCs/>
                <w:sz w:val="20"/>
                <w:szCs w:val="20"/>
              </w:rPr>
            </w:pPr>
          </w:p>
        </w:tc>
        <w:tc>
          <w:tcPr>
            <w:tcW w:w="3815" w:type="dxa"/>
            <w:tcBorders/>
          </w:tcPr>
          <w:p>
            <w:pPr>
              <w:pStyle w:val="style0"/>
              <w:rPr>
                <w:rFonts w:ascii="Arial" w:cs="Arial" w:hAnsi="Arial"/>
                <w:b/>
                <w:bCs/>
                <w:sz w:val="20"/>
                <w:szCs w:val="20"/>
              </w:rPr>
            </w:pPr>
          </w:p>
        </w:tc>
      </w:tr>
      <w:tr>
        <w:tblPrEx/>
        <w:trPr>
          <w:trHeight w:val="173" w:hRule="atLeast"/>
        </w:trPr>
        <w:tc>
          <w:tcPr>
            <w:tcW w:w="3681" w:type="dxa"/>
            <w:tcBorders/>
          </w:tcPr>
          <w:p>
            <w:pPr>
              <w:pStyle w:val="style0"/>
              <w:spacing w:before="120"/>
              <w:rPr>
                <w:rFonts w:ascii="Arial" w:cs="Arial" w:hAnsi="Arial"/>
                <w:b/>
                <w:bCs/>
                <w:sz w:val="20"/>
                <w:szCs w:val="20"/>
              </w:rPr>
            </w:pPr>
            <w:r>
              <w:rPr>
                <w:rFonts w:ascii="Arial" w:cs="Arial" w:hAnsi="Arial"/>
                <w:b/>
                <w:bCs/>
                <w:sz w:val="20"/>
                <w:szCs w:val="20"/>
              </w:rPr>
              <w:t>Date</w:t>
            </w:r>
          </w:p>
          <w:p>
            <w:pPr>
              <w:pStyle w:val="style0"/>
              <w:spacing w:before="120"/>
              <w:rPr>
                <w:rFonts w:ascii="Arial" w:cs="Arial" w:hAnsi="Arial"/>
                <w:b/>
                <w:bCs/>
                <w:sz w:val="20"/>
                <w:szCs w:val="20"/>
              </w:rPr>
            </w:pPr>
          </w:p>
        </w:tc>
        <w:tc>
          <w:tcPr>
            <w:tcW w:w="3815" w:type="dxa"/>
            <w:tcBorders/>
          </w:tcPr>
          <w:p>
            <w:pPr>
              <w:pStyle w:val="style0"/>
              <w:rPr>
                <w:rFonts w:ascii="Arial" w:cs="Arial" w:hAnsi="Arial"/>
                <w:b/>
                <w:bCs/>
                <w:sz w:val="20"/>
                <w:szCs w:val="20"/>
              </w:rPr>
            </w:pPr>
            <w:r>
              <w:rPr>
                <w:rFonts w:ascii="Arial" w:cs="Arial" w:hAnsi="Arial"/>
                <w:b/>
                <w:bCs/>
                <w:sz w:val="20"/>
                <w:szCs w:val="20"/>
              </w:rPr>
              <w:t>19.11.25</w:t>
            </w:r>
          </w:p>
        </w:tc>
        <w:tc>
          <w:tcPr>
            <w:tcW w:w="3815" w:type="dxa"/>
            <w:tcBorders/>
          </w:tcPr>
          <w:p>
            <w:pPr>
              <w:pStyle w:val="style0"/>
              <w:rPr>
                <w:rFonts w:ascii="Arial" w:cs="Arial" w:hAnsi="Arial"/>
                <w:b/>
                <w:bCs/>
                <w:sz w:val="20"/>
                <w:szCs w:val="20"/>
              </w:rPr>
            </w:pPr>
          </w:p>
        </w:tc>
        <w:tc>
          <w:tcPr>
            <w:tcW w:w="3815" w:type="dxa"/>
            <w:tcBorders/>
          </w:tcPr>
          <w:p>
            <w:pPr>
              <w:pStyle w:val="style0"/>
              <w:rPr>
                <w:rFonts w:ascii="Arial" w:cs="Arial" w:hAnsi="Arial"/>
                <w:b/>
                <w:bCs/>
                <w:sz w:val="20"/>
                <w:szCs w:val="20"/>
              </w:rPr>
            </w:pPr>
          </w:p>
        </w:tc>
      </w:tr>
    </w:tbl>
    <w:p>
      <w:pPr>
        <w:pStyle w:val="style0"/>
        <w:rPr>
          <w:rFonts w:ascii="Arial" w:cs="Arial" w:hAnsi="Arial"/>
          <w:sz w:val="20"/>
          <w:szCs w:val="20"/>
        </w:rPr>
      </w:pPr>
    </w:p>
    <w:p>
      <w:pPr>
        <w:pStyle w:val="style0"/>
        <w:rPr>
          <w:rFonts w:ascii="Arial" w:cs="Arial" w:hAnsi="Arial"/>
          <w:b/>
          <w:bCs/>
          <w:sz w:val="20"/>
          <w:szCs w:val="20"/>
        </w:rPr>
      </w:pPr>
      <w:r>
        <w:rPr>
          <w:rFonts w:ascii="Arial" w:cs="Arial" w:hAnsi="Arial"/>
          <w:b/>
          <w:bCs/>
          <w:sz w:val="20"/>
          <w:szCs w:val="20"/>
        </w:rPr>
        <w:t>*This must be a true signature, so a handwritten signature, or a photo or scan of a handwritten signature, or an e-signature. A typed signature is not acceptable.</w:t>
      </w:r>
    </w:p>
    <w:p>
      <w:pPr>
        <w:pStyle w:val="style0"/>
        <w:rPr>
          <w:rFonts w:ascii="Arial" w:hAnsi="Arial"/>
          <w:b/>
          <w:bCs/>
          <w:sz w:val="20"/>
          <w:szCs w:val="20"/>
        </w:rPr>
      </w:pPr>
      <w:r>
        <w:rPr>
          <w:rFonts w:ascii="Arial" w:hAnsi="Arial"/>
          <w:b/>
          <w:bCs/>
          <w:sz w:val="20"/>
          <w:szCs w:val="20"/>
        </w:rPr>
        <w:br w:type="page"/>
      </w:r>
    </w:p>
    <w:p>
      <w:pPr>
        <w:pStyle w:val="style0"/>
        <w:rPr/>
      </w:pPr>
    </w:p>
    <w:tbl>
      <w:tblPr>
        <w:tblW w:w="14851" w:type="dxa"/>
        <w:tblInd w:w="2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bfbfbf"/>
        <w:tblCellMar>
          <w:top w:w="113" w:type="dxa"/>
          <w:left w:w="170" w:type="dxa"/>
          <w:bottom w:w="113" w:type="dxa"/>
          <w:right w:w="170" w:type="dxa"/>
        </w:tblCellMar>
        <w:tblLook w:val="04A0" w:firstRow="1" w:lastRow="0" w:firstColumn="1" w:lastColumn="0" w:noHBand="0" w:noVBand="1"/>
      </w:tblPr>
      <w:tblGrid>
        <w:gridCol w:w="563"/>
        <w:gridCol w:w="14288"/>
      </w:tblGrid>
      <w:tr>
        <w:trPr/>
        <w:tc>
          <w:tcPr>
            <w:tcW w:w="563" w:type="dxa"/>
            <w:tcBorders/>
            <w:shd w:val="clear" w:color="auto" w:fill="347789"/>
            <w:vAlign w:val="center"/>
          </w:tcPr>
          <w:p>
            <w:pPr>
              <w:pStyle w:val="style0"/>
              <w:spacing w:after="0" w:lineRule="auto" w:line="240"/>
              <w:jc w:val="center"/>
              <w:rPr>
                <w:rFonts w:ascii="Arial" w:cs="Arial" w:eastAsia="Times New Roman" w:hAnsi="Arial"/>
                <w:b/>
                <w:color w:val="ffffff"/>
                <w:sz w:val="24"/>
                <w:szCs w:val="24"/>
                <w:lang w:eastAsia="en-GB"/>
              </w:rPr>
            </w:pPr>
            <w:r>
              <w:rPr>
                <w:rFonts w:ascii="Arial" w:cs="Arial" w:hAnsi="Arial"/>
                <w:sz w:val="20"/>
                <w:szCs w:val="20"/>
              </w:rPr>
              <w:br w:type="page"/>
            </w:r>
            <w:r>
              <w:rPr>
                <w:rFonts w:ascii="Arial" w:cs="Arial" w:eastAsia="Times New Roman" w:hAnsi="Arial"/>
                <w:color w:val="ffffff"/>
                <w:lang w:eastAsia="en-GB"/>
              </w:rPr>
              <w:br w:type="page"/>
            </w:r>
            <w:r>
              <w:rPr>
                <w:rFonts w:ascii="Arial" w:cs="Arial" w:eastAsia="Times New Roman" w:hAnsi="Arial"/>
                <w:b/>
                <w:color w:val="ffffff"/>
                <w:sz w:val="24"/>
                <w:szCs w:val="24"/>
                <w:lang w:eastAsia="en-GB"/>
              </w:rPr>
              <w:t>»</w:t>
            </w:r>
          </w:p>
        </w:tc>
        <w:tc>
          <w:tcPr>
            <w:tcW w:w="14288" w:type="dxa"/>
            <w:tcBorders/>
            <w:shd w:val="clear" w:color="auto" w:fill="347789"/>
            <w:vAlign w:val="center"/>
          </w:tcPr>
          <w:p>
            <w:pPr>
              <w:pStyle w:val="style4097"/>
              <w:rPr>
                <w:color w:val="ffffff"/>
              </w:rPr>
            </w:pPr>
            <w:r>
              <w:rPr>
                <w:color w:val="ffffff"/>
              </w:rPr>
              <w:t>Marking guidelines</w:t>
            </w:r>
          </w:p>
        </w:tc>
      </w:tr>
    </w:tbl>
    <w:p>
      <w:pPr>
        <w:pStyle w:val="style4099"/>
        <w:rPr>
          <w:rFonts w:ascii="Arial" w:cs="Arial" w:hAnsi="Arial"/>
        </w:rPr>
      </w:pPr>
    </w:p>
    <w:p>
      <w:pPr>
        <w:pStyle w:val="style0"/>
        <w:autoSpaceDE w:val="false"/>
        <w:autoSpaceDN w:val="false"/>
        <w:adjustRightInd w:val="false"/>
        <w:spacing w:after="120" w:lineRule="auto" w:line="240"/>
        <w:ind w:left="142"/>
        <w:rPr>
          <w:rFonts w:ascii="Arial" w:cs="Arial" w:hAnsi="Arial"/>
          <w:color w:val="000000"/>
          <w:sz w:val="20"/>
          <w:szCs w:val="20"/>
        </w:rPr>
      </w:pPr>
      <w:r>
        <w:rPr>
          <w:rFonts w:ascii="Arial" w:cs="Arial" w:hAnsi="Arial"/>
          <w:sz w:val="20"/>
          <w:szCs w:val="20"/>
        </w:rPr>
        <w:t>You</w:t>
      </w:r>
      <w:r>
        <w:rPr>
          <w:rFonts w:ascii="Arial" w:cs="Arial" w:hAnsi="Arial"/>
          <w:color w:val="000000"/>
          <w:sz w:val="20"/>
          <w:szCs w:val="20"/>
        </w:rPr>
        <w:t xml:space="preserve"> will receive a </w:t>
      </w:r>
      <w:r>
        <w:rPr>
          <w:rFonts w:ascii="Arial" w:cs="Arial" w:hAnsi="Arial"/>
          <w:b/>
          <w:bCs/>
          <w:color w:val="000000"/>
          <w:sz w:val="20"/>
          <w:szCs w:val="20"/>
        </w:rPr>
        <w:t xml:space="preserve">Low Pass/Pass/High Pass </w:t>
      </w:r>
      <w:r>
        <w:rPr>
          <w:rFonts w:ascii="Arial" w:cs="Arial" w:hAnsi="Arial"/>
          <w:color w:val="000000"/>
          <w:sz w:val="20"/>
          <w:szCs w:val="20"/>
        </w:rPr>
        <w:t xml:space="preserve">or </w:t>
      </w:r>
      <w:r>
        <w:rPr>
          <w:rFonts w:ascii="Arial" w:cs="Arial" w:hAnsi="Arial"/>
          <w:b/>
          <w:bCs/>
          <w:color w:val="000000"/>
          <w:sz w:val="20"/>
          <w:szCs w:val="20"/>
        </w:rPr>
        <w:t xml:space="preserve">Refer/Fail </w:t>
      </w:r>
      <w:r>
        <w:rPr>
          <w:rFonts w:ascii="Arial" w:cs="Arial" w:hAnsi="Arial"/>
          <w:color w:val="000000"/>
          <w:sz w:val="20"/>
          <w:szCs w:val="20"/>
        </w:rPr>
        <w:t xml:space="preserve">result at unit level. Assessors will provide a mark from 1 to 4 for each of the assessment criteria in the unit. The marking descriptor grid is provided here as guidance. This will provide you with feedback that is developmental. </w:t>
      </w:r>
      <w:r>
        <w:rPr>
          <w:rFonts w:ascii="Arial" w:cs="Arial" w:hAnsi="Arial"/>
          <w:b/>
          <w:bCs/>
          <w:color w:val="000000"/>
          <w:sz w:val="20"/>
          <w:szCs w:val="20"/>
        </w:rPr>
        <w:t>To pass the unit assessment you must achieve a 2 (Low Pass) or above for each of the questions/assessment criteria.</w:t>
      </w:r>
    </w:p>
    <w:tbl>
      <w:tblPr>
        <w:tblStyle w:val="style154"/>
        <w:tblW w:w="14742" w:type="dxa"/>
        <w:tblInd w:w="137" w:type="dxa"/>
        <w:tblLook w:val="04A0" w:firstRow="1" w:lastRow="0" w:firstColumn="1" w:lastColumn="0" w:noHBand="0" w:noVBand="1"/>
      </w:tblPr>
      <w:tblGrid>
        <w:gridCol w:w="851"/>
        <w:gridCol w:w="1134"/>
        <w:gridCol w:w="12757"/>
      </w:tblGrid>
      <w:tr>
        <w:trPr/>
        <w:tc>
          <w:tcPr>
            <w:tcW w:w="851" w:type="dxa"/>
            <w:tcBorders/>
            <w:shd w:val="clear" w:color="auto" w:fill="347789"/>
          </w:tcPr>
          <w:p>
            <w:pPr>
              <w:pStyle w:val="style0"/>
              <w:autoSpaceDE w:val="false"/>
              <w:autoSpaceDN w:val="false"/>
              <w:adjustRightInd w:val="false"/>
              <w:rPr>
                <w:rFonts w:ascii="Arial" w:cs="Arial" w:hAnsi="Arial"/>
                <w:b/>
                <w:bCs/>
                <w:color w:val="ffffff"/>
              </w:rPr>
            </w:pPr>
            <w:r>
              <w:rPr>
                <w:rFonts w:ascii="Arial" w:cs="Arial" w:hAnsi="Arial"/>
                <w:b/>
                <w:bCs/>
                <w:color w:val="ffffff"/>
              </w:rPr>
              <w:t>Mark</w:t>
            </w:r>
          </w:p>
        </w:tc>
        <w:tc>
          <w:tcPr>
            <w:tcW w:w="1134" w:type="dxa"/>
            <w:tcBorders/>
            <w:shd w:val="clear" w:color="auto" w:fill="347789"/>
          </w:tcPr>
          <w:p>
            <w:pPr>
              <w:pStyle w:val="style0"/>
              <w:autoSpaceDE w:val="false"/>
              <w:autoSpaceDN w:val="false"/>
              <w:adjustRightInd w:val="false"/>
              <w:rPr>
                <w:rFonts w:ascii="Arial" w:cs="Arial" w:hAnsi="Arial"/>
                <w:b/>
                <w:bCs/>
                <w:color w:val="ffffff"/>
              </w:rPr>
            </w:pPr>
            <w:r>
              <w:rPr>
                <w:rFonts w:ascii="Arial" w:cs="Arial" w:hAnsi="Arial"/>
                <w:b/>
                <w:bCs/>
                <w:color w:val="ffffff"/>
              </w:rPr>
              <w:t>Range</w:t>
            </w:r>
          </w:p>
        </w:tc>
        <w:tc>
          <w:tcPr>
            <w:tcW w:w="12757" w:type="dxa"/>
            <w:tcBorders/>
            <w:shd w:val="clear" w:color="auto" w:fill="347789"/>
          </w:tcPr>
          <w:p>
            <w:pPr>
              <w:pStyle w:val="style0"/>
              <w:autoSpaceDE w:val="false"/>
              <w:autoSpaceDN w:val="false"/>
              <w:adjustRightInd w:val="false"/>
              <w:rPr>
                <w:rFonts w:ascii="Arial" w:cs="Arial" w:hAnsi="Arial"/>
                <w:b/>
                <w:bCs/>
                <w:color w:val="ffffff"/>
              </w:rPr>
            </w:pPr>
            <w:r>
              <w:rPr>
                <w:rFonts w:ascii="Arial" w:cs="Arial" w:hAnsi="Arial"/>
                <w:b/>
                <w:bCs/>
                <w:color w:val="ffffff"/>
              </w:rPr>
              <w:t>Descriptor</w:t>
            </w:r>
          </w:p>
        </w:tc>
      </w:tr>
      <w:tr>
        <w:tblPrEx/>
        <w:trPr/>
        <w:tc>
          <w:tcPr>
            <w:tcW w:w="851" w:type="dxa"/>
            <w:tcBorders/>
            <w:shd w:val="clear" w:color="auto" w:fill="e3f2f5"/>
          </w:tcPr>
          <w:p>
            <w:pPr>
              <w:pStyle w:val="style0"/>
              <w:autoSpaceDE w:val="false"/>
              <w:autoSpaceDN w:val="false"/>
              <w:adjustRightInd w:val="false"/>
              <w:rPr>
                <w:rFonts w:ascii="Arial" w:cs="Arial" w:hAnsi="Arial"/>
                <w:color w:val="000000"/>
                <w:sz w:val="18"/>
                <w:szCs w:val="18"/>
              </w:rPr>
            </w:pPr>
            <w:r>
              <w:rPr>
                <w:rFonts w:ascii="Arial" w:cs="Arial" w:hAnsi="Arial"/>
                <w:color w:val="000000"/>
                <w:sz w:val="18"/>
                <w:szCs w:val="18"/>
              </w:rPr>
              <w:t>1</w:t>
            </w:r>
          </w:p>
        </w:tc>
        <w:tc>
          <w:tcPr>
            <w:tcW w:w="1134" w:type="dxa"/>
            <w:tcBorders/>
            <w:shd w:val="clear" w:color="auto" w:fill="e3f2f5"/>
          </w:tcPr>
          <w:p>
            <w:pPr>
              <w:pStyle w:val="style0"/>
              <w:autoSpaceDE w:val="false"/>
              <w:autoSpaceDN w:val="false"/>
              <w:adjustRightInd w:val="false"/>
              <w:rPr>
                <w:rFonts w:ascii="Arial" w:cs="Arial" w:hAnsi="Arial"/>
                <w:color w:val="000000"/>
                <w:sz w:val="18"/>
                <w:szCs w:val="18"/>
              </w:rPr>
            </w:pPr>
            <w:r>
              <w:rPr>
                <w:rFonts w:ascii="Arial" w:cs="Arial" w:hAnsi="Arial"/>
                <w:color w:val="000000"/>
                <w:sz w:val="18"/>
                <w:szCs w:val="18"/>
              </w:rPr>
              <w:t>Refer/Fail</w:t>
            </w:r>
          </w:p>
        </w:tc>
        <w:tc>
          <w:tcPr>
            <w:tcW w:w="12757" w:type="dxa"/>
            <w:tcBorders/>
            <w:shd w:val="clear" w:color="auto" w:fill="e3f2f5"/>
          </w:tcPr>
          <w:p>
            <w:pPr>
              <w:pStyle w:val="style4114"/>
              <w:snapToGrid w:val="false"/>
              <w:rPr>
                <w:sz w:val="18"/>
                <w:szCs w:val="18"/>
              </w:rPr>
            </w:pPr>
            <w:r>
              <w:rPr>
                <w:sz w:val="18"/>
                <w:szCs w:val="18"/>
              </w:rPr>
              <w:t xml:space="preserve">The response DOES NOT </w:t>
            </w:r>
          </w:p>
          <w:p>
            <w:pPr>
              <w:pStyle w:val="style4114"/>
              <w:snapToGrid w:val="false"/>
              <w:ind w:left="674" w:hanging="425"/>
              <w:rPr>
                <w:sz w:val="18"/>
                <w:szCs w:val="18"/>
              </w:rPr>
            </w:pPr>
            <w:r>
              <w:rPr>
                <w:sz w:val="18"/>
                <w:szCs w:val="18"/>
              </w:rPr>
              <w:t>•</w:t>
            </w:r>
            <w:r>
              <w:rPr>
                <w:sz w:val="18"/>
                <w:szCs w:val="18"/>
              </w:rPr>
              <w:tab/>
            </w:r>
            <w:r>
              <w:rPr>
                <w:sz w:val="18"/>
                <w:szCs w:val="18"/>
              </w:rPr>
              <w:t>demonstrate the knowledge, understanding or skill required to meet the AC</w:t>
            </w:r>
          </w:p>
          <w:p>
            <w:pPr>
              <w:pStyle w:val="style4114"/>
              <w:snapToGrid w:val="false"/>
              <w:ind w:left="674" w:hanging="425"/>
              <w:rPr>
                <w:sz w:val="18"/>
                <w:szCs w:val="18"/>
              </w:rPr>
            </w:pPr>
            <w:r>
              <w:rPr>
                <w:sz w:val="18"/>
                <w:szCs w:val="18"/>
              </w:rPr>
              <w:t>•</w:t>
            </w:r>
            <w:r>
              <w:rPr>
                <w:sz w:val="18"/>
                <w:szCs w:val="18"/>
              </w:rPr>
              <w:tab/>
            </w:r>
            <w:r>
              <w:rPr>
                <w:sz w:val="18"/>
                <w:szCs w:val="18"/>
              </w:rPr>
              <w:t>include any, or appropriate examples, where these are required to support the answer</w:t>
            </w:r>
          </w:p>
          <w:p>
            <w:pPr>
              <w:pStyle w:val="style4114"/>
              <w:snapToGrid w:val="false"/>
              <w:ind w:left="674" w:hanging="425"/>
              <w:rPr>
                <w:sz w:val="18"/>
                <w:szCs w:val="18"/>
              </w:rPr>
            </w:pPr>
            <w:r>
              <w:rPr>
                <w:sz w:val="18"/>
                <w:szCs w:val="18"/>
              </w:rPr>
              <w:t>•</w:t>
            </w:r>
            <w:r>
              <w:rPr>
                <w:sz w:val="18"/>
                <w:szCs w:val="18"/>
              </w:rPr>
              <w:tab/>
            </w:r>
            <w:r>
              <w:rPr>
                <w:sz w:val="18"/>
                <w:szCs w:val="18"/>
              </w:rPr>
              <w:t>include evidence of the use of reading and research to inform the answer</w:t>
            </w:r>
          </w:p>
          <w:p>
            <w:pPr>
              <w:pStyle w:val="style4114"/>
              <w:snapToGrid w:val="false"/>
              <w:ind w:left="674" w:hanging="425"/>
              <w:rPr>
                <w:sz w:val="18"/>
                <w:szCs w:val="18"/>
              </w:rPr>
            </w:pPr>
            <w:r>
              <w:rPr>
                <w:sz w:val="18"/>
                <w:szCs w:val="18"/>
              </w:rPr>
              <w:t>•</w:t>
            </w:r>
            <w:r>
              <w:rPr>
                <w:sz w:val="18"/>
                <w:szCs w:val="18"/>
              </w:rPr>
              <w:tab/>
            </w:r>
            <w:r>
              <w:rPr>
                <w:sz w:val="18"/>
                <w:szCs w:val="18"/>
              </w:rPr>
              <w:t>include at least one appropriate reference for each assessment criteria (where this is required)*</w:t>
            </w:r>
          </w:p>
          <w:p>
            <w:pPr>
              <w:pStyle w:val="style4114"/>
              <w:snapToGrid w:val="false"/>
              <w:ind w:left="674" w:hanging="425"/>
              <w:rPr>
                <w:sz w:val="18"/>
                <w:szCs w:val="18"/>
              </w:rPr>
            </w:pPr>
            <w:r>
              <w:rPr>
                <w:sz w:val="18"/>
                <w:szCs w:val="18"/>
              </w:rPr>
              <w:t>•</w:t>
            </w:r>
            <w:r>
              <w:rPr>
                <w:sz w:val="18"/>
                <w:szCs w:val="18"/>
              </w:rPr>
              <w:tab/>
            </w:r>
            <w:r>
              <w:rPr>
                <w:sz w:val="18"/>
                <w:szCs w:val="18"/>
              </w:rPr>
              <w:t xml:space="preserve">refer to the case study </w:t>
            </w:r>
          </w:p>
          <w:p>
            <w:pPr>
              <w:pStyle w:val="style4114"/>
              <w:snapToGrid w:val="false"/>
              <w:ind w:left="674" w:hanging="425"/>
              <w:rPr>
                <w:sz w:val="18"/>
                <w:szCs w:val="18"/>
              </w:rPr>
            </w:pPr>
            <w:r>
              <w:rPr>
                <w:sz w:val="18"/>
                <w:szCs w:val="18"/>
              </w:rPr>
              <w:t>•</w:t>
            </w:r>
            <w:r>
              <w:rPr>
                <w:sz w:val="18"/>
                <w:szCs w:val="18"/>
              </w:rPr>
              <w:tab/>
            </w:r>
            <w:r>
              <w:rPr>
                <w:sz w:val="18"/>
                <w:szCs w:val="18"/>
              </w:rPr>
              <w:t>respond clearly to the question/task and is not well expressed</w:t>
            </w:r>
          </w:p>
          <w:p>
            <w:pPr>
              <w:pStyle w:val="style4114"/>
              <w:snapToGrid w:val="false"/>
              <w:ind w:left="674" w:hanging="425"/>
              <w:rPr>
                <w:sz w:val="18"/>
                <w:szCs w:val="18"/>
              </w:rPr>
            </w:pPr>
            <w:r>
              <w:rPr>
                <w:sz w:val="18"/>
                <w:szCs w:val="18"/>
              </w:rPr>
              <w:t>•</w:t>
            </w:r>
            <w:r>
              <w:rPr>
                <w:sz w:val="18"/>
                <w:szCs w:val="18"/>
              </w:rPr>
              <w:tab/>
            </w:r>
            <w:r>
              <w:rPr>
                <w:sz w:val="18"/>
                <w:szCs w:val="18"/>
              </w:rPr>
              <w:t>have an appropriate format or structure which meets the requirements set out in the brief</w:t>
            </w:r>
          </w:p>
        </w:tc>
      </w:tr>
      <w:tr>
        <w:tblPrEx/>
        <w:trPr/>
        <w:tc>
          <w:tcPr>
            <w:tcW w:w="851" w:type="dxa"/>
            <w:tcBorders/>
            <w:shd w:val="clear" w:color="auto" w:fill="cfe7ed"/>
          </w:tcPr>
          <w:p>
            <w:pPr>
              <w:pStyle w:val="style0"/>
              <w:autoSpaceDE w:val="false"/>
              <w:autoSpaceDN w:val="false"/>
              <w:adjustRightInd w:val="false"/>
              <w:rPr>
                <w:rFonts w:ascii="Arial" w:cs="Arial" w:hAnsi="Arial"/>
                <w:color w:val="000000"/>
                <w:sz w:val="18"/>
                <w:szCs w:val="18"/>
              </w:rPr>
            </w:pPr>
            <w:r>
              <w:rPr>
                <w:rFonts w:ascii="Arial" w:cs="Arial" w:hAnsi="Arial"/>
                <w:color w:val="000000"/>
                <w:sz w:val="18"/>
                <w:szCs w:val="18"/>
              </w:rPr>
              <w:t>2</w:t>
            </w:r>
          </w:p>
        </w:tc>
        <w:tc>
          <w:tcPr>
            <w:tcW w:w="1134" w:type="dxa"/>
            <w:tcBorders/>
            <w:shd w:val="clear" w:color="auto" w:fill="cfe7ed"/>
          </w:tcPr>
          <w:p>
            <w:pPr>
              <w:pStyle w:val="style0"/>
              <w:autoSpaceDE w:val="false"/>
              <w:autoSpaceDN w:val="false"/>
              <w:adjustRightInd w:val="false"/>
              <w:rPr>
                <w:rFonts w:ascii="Arial" w:cs="Arial" w:hAnsi="Arial"/>
                <w:color w:val="000000"/>
                <w:sz w:val="18"/>
                <w:szCs w:val="18"/>
              </w:rPr>
            </w:pPr>
            <w:r>
              <w:rPr>
                <w:rFonts w:ascii="Arial" w:cs="Arial" w:hAnsi="Arial"/>
                <w:color w:val="000000"/>
                <w:sz w:val="18"/>
                <w:szCs w:val="18"/>
              </w:rPr>
              <w:t>Low Pass</w:t>
            </w:r>
          </w:p>
        </w:tc>
        <w:tc>
          <w:tcPr>
            <w:tcW w:w="12757" w:type="dxa"/>
            <w:tcBorders/>
            <w:shd w:val="clear" w:color="auto" w:fill="cfe7ed"/>
          </w:tcPr>
          <w:p>
            <w:pPr>
              <w:pStyle w:val="style4114"/>
              <w:snapToGrid w:val="false"/>
              <w:rPr>
                <w:sz w:val="18"/>
                <w:szCs w:val="18"/>
              </w:rPr>
            </w:pPr>
            <w:r>
              <w:rPr>
                <w:sz w:val="18"/>
                <w:szCs w:val="18"/>
              </w:rPr>
              <w:t xml:space="preserve">The response DOES </w:t>
            </w:r>
          </w:p>
          <w:p>
            <w:pPr>
              <w:pStyle w:val="style4114"/>
              <w:snapToGrid w:val="false"/>
              <w:ind w:left="674" w:hanging="425"/>
              <w:rPr>
                <w:sz w:val="18"/>
                <w:szCs w:val="18"/>
              </w:rPr>
            </w:pPr>
            <w:r>
              <w:rPr>
                <w:sz w:val="18"/>
                <w:szCs w:val="18"/>
              </w:rPr>
              <w:t>•</w:t>
            </w:r>
            <w:r>
              <w:rPr>
                <w:sz w:val="18"/>
                <w:szCs w:val="18"/>
              </w:rPr>
              <w:tab/>
            </w:r>
            <w:r>
              <w:rPr>
                <w:sz w:val="18"/>
                <w:szCs w:val="18"/>
              </w:rPr>
              <w:t xml:space="preserve">demonstrate the minimum level of knowledge, understanding or skill required to meet the AC </w:t>
            </w:r>
          </w:p>
          <w:p>
            <w:pPr>
              <w:pStyle w:val="style4114"/>
              <w:snapToGrid w:val="false"/>
              <w:ind w:left="674" w:hanging="425"/>
              <w:rPr>
                <w:sz w:val="18"/>
                <w:szCs w:val="18"/>
              </w:rPr>
            </w:pPr>
            <w:r>
              <w:rPr>
                <w:sz w:val="18"/>
                <w:szCs w:val="18"/>
              </w:rPr>
              <w:t>•</w:t>
            </w:r>
            <w:r>
              <w:rPr>
                <w:sz w:val="18"/>
                <w:szCs w:val="18"/>
              </w:rPr>
              <w:tab/>
            </w:r>
            <w:r>
              <w:rPr>
                <w:sz w:val="18"/>
                <w:szCs w:val="18"/>
              </w:rPr>
              <w:t>include an appropriate example where this is required to support the answer</w:t>
            </w:r>
          </w:p>
          <w:p>
            <w:pPr>
              <w:pStyle w:val="style4114"/>
              <w:snapToGrid w:val="false"/>
              <w:ind w:left="674" w:hanging="425"/>
              <w:rPr>
                <w:sz w:val="18"/>
                <w:szCs w:val="18"/>
              </w:rPr>
            </w:pPr>
            <w:r>
              <w:rPr>
                <w:sz w:val="18"/>
                <w:szCs w:val="18"/>
              </w:rPr>
              <w:t>•</w:t>
            </w:r>
            <w:r>
              <w:rPr>
                <w:sz w:val="18"/>
                <w:szCs w:val="18"/>
              </w:rPr>
              <w:tab/>
            </w:r>
            <w:r>
              <w:rPr>
                <w:sz w:val="18"/>
                <w:szCs w:val="18"/>
              </w:rPr>
              <w:t xml:space="preserve">include evidence of some reading and research to inform the answer </w:t>
            </w:r>
          </w:p>
          <w:p>
            <w:pPr>
              <w:pStyle w:val="style4114"/>
              <w:snapToGrid w:val="false"/>
              <w:ind w:left="674" w:hanging="425"/>
              <w:rPr>
                <w:sz w:val="18"/>
                <w:szCs w:val="18"/>
              </w:rPr>
            </w:pPr>
            <w:r>
              <w:rPr>
                <w:sz w:val="18"/>
                <w:szCs w:val="18"/>
              </w:rPr>
              <w:t>•</w:t>
            </w:r>
            <w:r>
              <w:rPr>
                <w:sz w:val="18"/>
                <w:szCs w:val="18"/>
              </w:rPr>
              <w:tab/>
            </w:r>
            <w:r>
              <w:rPr>
                <w:sz w:val="18"/>
                <w:szCs w:val="18"/>
              </w:rPr>
              <w:t>include a reference for each assessment criteria (where this is required)*</w:t>
            </w:r>
          </w:p>
          <w:p>
            <w:pPr>
              <w:pStyle w:val="style4114"/>
              <w:snapToGrid w:val="false"/>
              <w:ind w:left="674" w:hanging="425"/>
              <w:rPr>
                <w:sz w:val="18"/>
                <w:szCs w:val="18"/>
              </w:rPr>
            </w:pPr>
            <w:r>
              <w:rPr>
                <w:sz w:val="18"/>
                <w:szCs w:val="18"/>
              </w:rPr>
              <w:t>•</w:t>
            </w:r>
            <w:r>
              <w:rPr>
                <w:sz w:val="18"/>
                <w:szCs w:val="18"/>
              </w:rPr>
              <w:tab/>
            </w:r>
            <w:r>
              <w:rPr>
                <w:sz w:val="18"/>
                <w:szCs w:val="18"/>
              </w:rPr>
              <w:t xml:space="preserve">refer to the case study </w:t>
            </w:r>
          </w:p>
          <w:p>
            <w:pPr>
              <w:pStyle w:val="style4114"/>
              <w:snapToGrid w:val="false"/>
              <w:ind w:left="674" w:hanging="425"/>
              <w:rPr>
                <w:sz w:val="18"/>
                <w:szCs w:val="18"/>
              </w:rPr>
            </w:pPr>
            <w:r>
              <w:rPr>
                <w:sz w:val="18"/>
                <w:szCs w:val="18"/>
              </w:rPr>
              <w:t>•</w:t>
            </w:r>
            <w:r>
              <w:rPr>
                <w:sz w:val="18"/>
                <w:szCs w:val="18"/>
              </w:rPr>
              <w:tab/>
            </w:r>
            <w:r>
              <w:rPr>
                <w:sz w:val="18"/>
                <w:szCs w:val="18"/>
              </w:rPr>
              <w:t>respond to the question or task although it could be clearer and/or better expressed</w:t>
            </w:r>
          </w:p>
          <w:p>
            <w:pPr>
              <w:pStyle w:val="style0"/>
              <w:autoSpaceDE w:val="false"/>
              <w:autoSpaceDN w:val="false"/>
              <w:adjustRightInd w:val="false"/>
              <w:snapToGrid w:val="false"/>
              <w:ind w:left="674" w:hanging="425"/>
              <w:rPr>
                <w:rFonts w:ascii="Arial" w:cs="Arial" w:hAnsi="Arial"/>
                <w:color w:val="000000"/>
                <w:sz w:val="18"/>
                <w:szCs w:val="18"/>
              </w:rPr>
            </w:pPr>
            <w:r>
              <w:rPr>
                <w:rFonts w:ascii="Arial" w:cs="Arial" w:hAnsi="Arial"/>
                <w:sz w:val="18"/>
                <w:szCs w:val="18"/>
              </w:rPr>
              <w:t>•</w:t>
            </w:r>
            <w:r>
              <w:rPr>
                <w:rFonts w:ascii="Arial" w:cs="Arial" w:hAnsi="Arial"/>
                <w:sz w:val="18"/>
                <w:szCs w:val="18"/>
              </w:rPr>
              <w:tab/>
            </w:r>
            <w:r>
              <w:rPr>
                <w:rFonts w:ascii="Arial" w:cs="Arial" w:hAnsi="Arial"/>
                <w:sz w:val="18"/>
                <w:szCs w:val="18"/>
              </w:rPr>
              <w:t>have an appropriate format or structure which meets the requirements set out in the brief</w:t>
            </w:r>
          </w:p>
        </w:tc>
      </w:tr>
      <w:tr>
        <w:tblPrEx/>
        <w:trPr/>
        <w:tc>
          <w:tcPr>
            <w:tcW w:w="851" w:type="dxa"/>
            <w:tcBorders/>
            <w:shd w:val="clear" w:color="auto" w:fill="7abacc"/>
          </w:tcPr>
          <w:p>
            <w:pPr>
              <w:pStyle w:val="style0"/>
              <w:autoSpaceDE w:val="false"/>
              <w:autoSpaceDN w:val="false"/>
              <w:adjustRightInd w:val="false"/>
              <w:rPr>
                <w:rFonts w:ascii="Arial" w:cs="Arial" w:hAnsi="Arial"/>
                <w:color w:val="000000"/>
                <w:sz w:val="18"/>
                <w:szCs w:val="18"/>
              </w:rPr>
            </w:pPr>
            <w:r>
              <w:rPr>
                <w:rFonts w:ascii="Arial" w:cs="Arial" w:hAnsi="Arial"/>
                <w:color w:val="000000"/>
                <w:sz w:val="18"/>
                <w:szCs w:val="18"/>
              </w:rPr>
              <w:t>3</w:t>
            </w:r>
          </w:p>
        </w:tc>
        <w:tc>
          <w:tcPr>
            <w:tcW w:w="1134" w:type="dxa"/>
            <w:tcBorders/>
            <w:shd w:val="clear" w:color="auto" w:fill="7abacc"/>
          </w:tcPr>
          <w:p>
            <w:pPr>
              <w:pStyle w:val="style0"/>
              <w:autoSpaceDE w:val="false"/>
              <w:autoSpaceDN w:val="false"/>
              <w:adjustRightInd w:val="false"/>
              <w:rPr>
                <w:rFonts w:ascii="Arial" w:cs="Arial" w:hAnsi="Arial"/>
                <w:color w:val="000000"/>
                <w:sz w:val="18"/>
                <w:szCs w:val="18"/>
              </w:rPr>
            </w:pPr>
            <w:r>
              <w:rPr>
                <w:rFonts w:ascii="Arial" w:cs="Arial" w:hAnsi="Arial"/>
                <w:color w:val="000000"/>
                <w:sz w:val="18"/>
                <w:szCs w:val="18"/>
              </w:rPr>
              <w:t>Pass</w:t>
            </w:r>
          </w:p>
        </w:tc>
        <w:tc>
          <w:tcPr>
            <w:tcW w:w="12757" w:type="dxa"/>
            <w:tcBorders/>
            <w:shd w:val="clear" w:color="auto" w:fill="7abacc"/>
          </w:tcPr>
          <w:p>
            <w:pPr>
              <w:pStyle w:val="style0"/>
              <w:adjustRightInd w:val="false"/>
              <w:snapToGrid w:val="false"/>
              <w:rPr>
                <w:rFonts w:ascii="Arial" w:cs="Arial" w:hAnsi="Arial"/>
                <w:color w:val="000000"/>
                <w:sz w:val="18"/>
                <w:szCs w:val="18"/>
              </w:rPr>
            </w:pPr>
            <w:r>
              <w:rPr>
                <w:rFonts w:ascii="Arial" w:cs="Arial" w:hAnsi="Arial"/>
                <w:color w:val="000000"/>
                <w:sz w:val="18"/>
                <w:szCs w:val="18"/>
              </w:rPr>
              <w:t xml:space="preserve">The response </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demonstrates a good level of the knowledge, understanding or skill required to meet the AC</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includes use of a good example or examples where these are required to support the answer</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includes evidence of a good level of reading and research to inform the answer</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includes good use of at least one reference for each assessment criteria (where this is required)*</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 xml:space="preserve">makes good reference to the case study </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directly addresses the question/task and is well expressed</w:t>
            </w:r>
          </w:p>
          <w:p>
            <w:pPr>
              <w:pStyle w:val="style0"/>
              <w:autoSpaceDE w:val="false"/>
              <w:autoSpaceDN w:val="false"/>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has a good format or structure which meets the requirements set out in the brief</w:t>
            </w:r>
          </w:p>
        </w:tc>
      </w:tr>
      <w:tr>
        <w:tblPrEx/>
        <w:trPr/>
        <w:tc>
          <w:tcPr>
            <w:tcW w:w="851" w:type="dxa"/>
            <w:tcBorders/>
            <w:shd w:val="clear" w:color="auto" w:fill="56a8be"/>
          </w:tcPr>
          <w:p>
            <w:pPr>
              <w:pStyle w:val="style0"/>
              <w:autoSpaceDE w:val="false"/>
              <w:autoSpaceDN w:val="false"/>
              <w:adjustRightInd w:val="false"/>
              <w:rPr>
                <w:rFonts w:ascii="Arial" w:cs="Arial" w:hAnsi="Arial"/>
                <w:color w:val="000000"/>
                <w:sz w:val="18"/>
                <w:szCs w:val="18"/>
              </w:rPr>
            </w:pPr>
            <w:r>
              <w:rPr>
                <w:rFonts w:ascii="Arial" w:cs="Arial" w:hAnsi="Arial"/>
                <w:color w:val="000000"/>
                <w:sz w:val="18"/>
                <w:szCs w:val="18"/>
              </w:rPr>
              <w:t>4</w:t>
            </w:r>
          </w:p>
        </w:tc>
        <w:tc>
          <w:tcPr>
            <w:tcW w:w="1134" w:type="dxa"/>
            <w:tcBorders/>
            <w:shd w:val="clear" w:color="auto" w:fill="56a8be"/>
          </w:tcPr>
          <w:p>
            <w:pPr>
              <w:pStyle w:val="style0"/>
              <w:autoSpaceDE w:val="false"/>
              <w:autoSpaceDN w:val="false"/>
              <w:adjustRightInd w:val="false"/>
              <w:rPr>
                <w:rFonts w:ascii="Arial" w:cs="Arial" w:hAnsi="Arial"/>
                <w:color w:val="000000"/>
                <w:sz w:val="18"/>
                <w:szCs w:val="18"/>
              </w:rPr>
            </w:pPr>
            <w:r>
              <w:rPr>
                <w:rFonts w:ascii="Arial" w:cs="Arial" w:hAnsi="Arial"/>
                <w:color w:val="000000"/>
                <w:sz w:val="18"/>
                <w:szCs w:val="18"/>
              </w:rPr>
              <w:t>High Pass</w:t>
            </w:r>
          </w:p>
        </w:tc>
        <w:tc>
          <w:tcPr>
            <w:tcW w:w="12757" w:type="dxa"/>
            <w:tcBorders/>
            <w:shd w:val="clear" w:color="auto" w:fill="56a8be"/>
          </w:tcPr>
          <w:p>
            <w:pPr>
              <w:pStyle w:val="style0"/>
              <w:adjustRightInd w:val="false"/>
              <w:snapToGrid w:val="false"/>
              <w:rPr>
                <w:rFonts w:ascii="Arial" w:cs="Arial" w:hAnsi="Arial"/>
                <w:color w:val="000000"/>
                <w:sz w:val="18"/>
                <w:szCs w:val="18"/>
              </w:rPr>
            </w:pPr>
            <w:r>
              <w:rPr>
                <w:rFonts w:ascii="Arial" w:cs="Arial" w:hAnsi="Arial"/>
                <w:color w:val="000000"/>
                <w:sz w:val="18"/>
                <w:szCs w:val="18"/>
              </w:rPr>
              <w:t xml:space="preserve">The response </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demonstrates an excellent level of the knowledge, understanding or skill required to meet the AC</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includes use of an excellent example or examples where these are required to support the answer</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includes evidence of extensive reading and research to inform the answer</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includes excellent use of at least one reference for each assessment criteria (where this is required)*</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 xml:space="preserve">makes excellent reference to the case study </w:t>
            </w:r>
          </w:p>
          <w:p>
            <w:pPr>
              <w:pStyle w:val="style0"/>
              <w:adjustRightInd w:val="false"/>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responds very clearly to the question/task and is particularly well expressed</w:t>
            </w:r>
          </w:p>
          <w:p>
            <w:pPr>
              <w:pStyle w:val="style0"/>
              <w:snapToGrid w:val="false"/>
              <w:ind w:left="674" w:hanging="425"/>
              <w:rPr>
                <w:rFonts w:ascii="Arial" w:cs="Arial" w:hAnsi="Arial"/>
                <w:color w:val="000000"/>
                <w:sz w:val="18"/>
                <w:szCs w:val="18"/>
              </w:rPr>
            </w:pPr>
            <w:r>
              <w:rPr>
                <w:rFonts w:ascii="Arial" w:cs="Arial" w:hAnsi="Arial"/>
                <w:color w:val="000000"/>
                <w:sz w:val="18"/>
                <w:szCs w:val="18"/>
              </w:rPr>
              <w:t>•</w:t>
            </w:r>
            <w:r>
              <w:rPr>
                <w:rFonts w:ascii="Arial" w:cs="Arial" w:hAnsi="Arial"/>
                <w:color w:val="000000"/>
                <w:sz w:val="18"/>
                <w:szCs w:val="18"/>
              </w:rPr>
              <w:tab/>
            </w:r>
            <w:r>
              <w:rPr>
                <w:rFonts w:ascii="Arial" w:cs="Arial" w:hAnsi="Arial"/>
                <w:color w:val="000000"/>
                <w:sz w:val="18"/>
                <w:szCs w:val="18"/>
              </w:rPr>
              <w:t>has an excellent format or structure which meets the requirements set out in the brief</w:t>
            </w:r>
          </w:p>
        </w:tc>
      </w:tr>
      <w:tr>
        <w:tblPrEx/>
        <w:trPr/>
        <w:tc>
          <w:tcPr>
            <w:tcW w:w="851" w:type="dxa"/>
            <w:tcBorders/>
            <w:shd w:val="clear" w:color="auto" w:fill="56a8be"/>
          </w:tcPr>
          <w:p>
            <w:pPr>
              <w:pStyle w:val="style0"/>
              <w:autoSpaceDE w:val="false"/>
              <w:autoSpaceDN w:val="false"/>
              <w:adjustRightInd w:val="false"/>
              <w:rPr>
                <w:rFonts w:ascii="Arial" w:cs="Arial" w:hAnsi="Arial"/>
                <w:color w:val="000000"/>
                <w:sz w:val="18"/>
                <w:szCs w:val="18"/>
              </w:rPr>
            </w:pPr>
          </w:p>
        </w:tc>
        <w:tc>
          <w:tcPr>
            <w:tcW w:w="1134" w:type="dxa"/>
            <w:tcBorders/>
            <w:shd w:val="clear" w:color="auto" w:fill="56a8be"/>
          </w:tcPr>
          <w:p>
            <w:pPr>
              <w:pStyle w:val="style0"/>
              <w:autoSpaceDE w:val="false"/>
              <w:autoSpaceDN w:val="false"/>
              <w:adjustRightInd w:val="false"/>
              <w:rPr>
                <w:rFonts w:ascii="Arial" w:cs="Arial" w:hAnsi="Arial"/>
                <w:color w:val="000000"/>
                <w:sz w:val="18"/>
                <w:szCs w:val="18"/>
              </w:rPr>
            </w:pPr>
          </w:p>
        </w:tc>
        <w:tc>
          <w:tcPr>
            <w:tcW w:w="12757" w:type="dxa"/>
            <w:tcBorders/>
            <w:shd w:val="clear" w:color="auto" w:fill="56a8be"/>
          </w:tcPr>
          <w:p>
            <w:pPr>
              <w:pStyle w:val="style0"/>
              <w:adjustRightInd w:val="false"/>
              <w:spacing w:after="40"/>
              <w:rPr>
                <w:rFonts w:ascii="Arial" w:cs="Arial" w:hAnsi="Arial"/>
                <w:color w:val="000000"/>
                <w:sz w:val="17"/>
                <w:szCs w:val="17"/>
              </w:rPr>
            </w:pPr>
            <w:r>
              <w:rPr>
                <w:rFonts w:ascii="Arial" w:cs="Arial" w:hAnsi="Arial"/>
                <w:color w:val="000000"/>
                <w:sz w:val="17"/>
                <w:szCs w:val="17"/>
              </w:rPr>
              <w:t>*Not all ACs in each unit need a reference. If they don’t, the brief will say so. All ACs in Unit 5CO01 require a reference. References should be presented using a recognised form of referencing. For example, if using Harvard referencing, this would include in-text citations and a list of references or bibliography at the end of the assessment.</w:t>
            </w:r>
          </w:p>
        </w:tc>
      </w:tr>
    </w:tbl>
    <w:p>
      <w:pPr>
        <w:pStyle w:val="style0"/>
        <w:autoSpaceDE w:val="false"/>
        <w:autoSpaceDN w:val="false"/>
        <w:adjustRightInd w:val="false"/>
        <w:spacing w:after="0" w:lineRule="auto" w:line="240"/>
        <w:rPr>
          <w:rFonts w:ascii="Arial" w:cs="Arial" w:hAnsi="Arial"/>
          <w:color w:val="000000"/>
        </w:rPr>
      </w:pPr>
    </w:p>
    <w:p>
      <w:pPr>
        <w:pStyle w:val="style0"/>
        <w:rPr>
          <w:rFonts w:ascii="Arial" w:cs="Arial" w:hAnsi="Arial"/>
          <w:color w:val="000000"/>
        </w:rPr>
      </w:pPr>
      <w:r>
        <w:rPr>
          <w:rFonts w:ascii="Arial" w:cs="Arial" w:hAnsi="Arial"/>
          <w:color w:val="000000"/>
        </w:rPr>
        <w:br w:type="page"/>
      </w:r>
      <w:r>
        <w:rPr>
          <w:rFonts w:ascii="Arial" w:cs="Arial" w:hAnsi="Arial"/>
          <w:color w:val="000000"/>
        </w:rPr>
        <w:t xml:space="preserve">The total mark achieved will dictate the grade you receive for the unit, provided </w:t>
      </w:r>
      <w:r>
        <w:rPr>
          <w:rFonts w:ascii="Arial" w:cs="Arial" w:hAnsi="Arial"/>
          <w:b/>
          <w:bCs/>
          <w:color w:val="000000"/>
        </w:rPr>
        <w:t xml:space="preserve">NONE </w:t>
      </w:r>
      <w:r>
        <w:rPr>
          <w:rFonts w:ascii="Arial" w:cs="Arial" w:hAnsi="Arial"/>
          <w:color w:val="000000"/>
        </w:rPr>
        <w:t>of the assessment criteria have been referred.</w:t>
      </w:r>
    </w:p>
    <w:p>
      <w:pPr>
        <w:pStyle w:val="style0"/>
        <w:autoSpaceDE w:val="false"/>
        <w:autoSpaceDN w:val="false"/>
        <w:adjustRightInd w:val="false"/>
        <w:spacing w:before="40" w:after="0" w:lineRule="auto" w:line="240"/>
        <w:rPr>
          <w:rFonts w:ascii="Arial" w:cs="Arial" w:hAnsi="Arial"/>
          <w:color w:val="000000"/>
        </w:rPr>
      </w:pPr>
    </w:p>
    <w:tbl>
      <w:tblPr>
        <w:tblStyle w:val="style154"/>
        <w:tblW w:w="0" w:type="auto"/>
        <w:tblLook w:val="04A0" w:firstRow="1" w:lastRow="0" w:firstColumn="1" w:lastColumn="0" w:noHBand="0" w:noVBand="1"/>
      </w:tblPr>
      <w:tblGrid>
        <w:gridCol w:w="1559"/>
        <w:gridCol w:w="1418"/>
      </w:tblGrid>
      <w:tr>
        <w:trPr/>
        <w:tc>
          <w:tcPr>
            <w:tcW w:w="1559" w:type="dxa"/>
            <w:tcBorders/>
            <w:shd w:val="clear" w:color="auto" w:fill="347789"/>
          </w:tcPr>
          <w:p>
            <w:pPr>
              <w:pStyle w:val="style0"/>
              <w:autoSpaceDE w:val="false"/>
              <w:autoSpaceDN w:val="false"/>
              <w:adjustRightInd w:val="false"/>
              <w:spacing w:before="40"/>
              <w:rPr>
                <w:rFonts w:ascii="Arial" w:cs="Arial" w:hAnsi="Arial"/>
                <w:b/>
                <w:bCs/>
                <w:color w:val="ffffff"/>
                <w:sz w:val="20"/>
                <w:szCs w:val="20"/>
              </w:rPr>
            </w:pPr>
            <w:r>
              <w:rPr>
                <w:rFonts w:ascii="Arial" w:cs="Arial" w:hAnsi="Arial"/>
                <w:b/>
                <w:bCs/>
                <w:color w:val="ffffff"/>
                <w:sz w:val="20"/>
                <w:szCs w:val="20"/>
              </w:rPr>
              <w:t>Overall mark</w:t>
            </w:r>
          </w:p>
        </w:tc>
        <w:tc>
          <w:tcPr>
            <w:tcW w:w="1418" w:type="dxa"/>
            <w:tcBorders/>
            <w:shd w:val="clear" w:color="auto" w:fill="347789"/>
          </w:tcPr>
          <w:p>
            <w:pPr>
              <w:pStyle w:val="style0"/>
              <w:autoSpaceDE w:val="false"/>
              <w:autoSpaceDN w:val="false"/>
              <w:adjustRightInd w:val="false"/>
              <w:spacing w:before="40"/>
              <w:rPr>
                <w:rFonts w:ascii="Arial" w:cs="Arial" w:hAnsi="Arial"/>
                <w:b/>
                <w:bCs/>
                <w:color w:val="ffffff"/>
                <w:sz w:val="20"/>
                <w:szCs w:val="20"/>
              </w:rPr>
            </w:pPr>
            <w:r>
              <w:rPr>
                <w:rFonts w:ascii="Arial" w:cs="Arial" w:hAnsi="Arial"/>
                <w:b/>
                <w:bCs/>
                <w:color w:val="ffffff"/>
                <w:sz w:val="20"/>
                <w:szCs w:val="20"/>
              </w:rPr>
              <w:t>Unit result</w:t>
            </w:r>
          </w:p>
          <w:p>
            <w:pPr>
              <w:pStyle w:val="style0"/>
              <w:autoSpaceDE w:val="false"/>
              <w:autoSpaceDN w:val="false"/>
              <w:adjustRightInd w:val="false"/>
              <w:spacing w:before="40"/>
              <w:rPr>
                <w:rFonts w:ascii="Arial" w:cs="Arial" w:hAnsi="Arial"/>
                <w:b/>
                <w:bCs/>
                <w:color w:val="ffffff"/>
                <w:sz w:val="20"/>
                <w:szCs w:val="20"/>
              </w:rPr>
            </w:pPr>
          </w:p>
        </w:tc>
      </w:tr>
      <w:tr>
        <w:tblPrEx/>
        <w:trPr/>
        <w:tc>
          <w:tcPr>
            <w:tcW w:w="1559" w:type="dxa"/>
            <w:tcBorders/>
            <w:shd w:val="clear" w:color="auto" w:fill="e3f2f5"/>
          </w:tcPr>
          <w:p>
            <w:pPr>
              <w:pStyle w:val="style0"/>
              <w:autoSpaceDE w:val="false"/>
              <w:autoSpaceDN w:val="false"/>
              <w:adjustRightInd w:val="false"/>
              <w:spacing w:before="40"/>
              <w:rPr>
                <w:rFonts w:ascii="Arial" w:cs="Arial" w:hAnsi="Arial"/>
                <w:color w:val="000000"/>
                <w:sz w:val="20"/>
                <w:szCs w:val="20"/>
              </w:rPr>
            </w:pPr>
            <w:r>
              <w:rPr>
                <w:rFonts w:ascii="Arial" w:cs="Arial" w:hAnsi="Arial"/>
                <w:color w:val="000000"/>
                <w:sz w:val="20"/>
                <w:szCs w:val="20"/>
              </w:rPr>
              <w:t>0 to 23</w:t>
            </w:r>
          </w:p>
        </w:tc>
        <w:tc>
          <w:tcPr>
            <w:tcW w:w="1418" w:type="dxa"/>
            <w:tcBorders/>
            <w:shd w:val="clear" w:color="auto" w:fill="e3f2f5"/>
          </w:tcPr>
          <w:p>
            <w:pPr>
              <w:pStyle w:val="style0"/>
              <w:autoSpaceDE w:val="false"/>
              <w:autoSpaceDN w:val="false"/>
              <w:adjustRightInd w:val="false"/>
              <w:spacing w:before="40"/>
              <w:rPr>
                <w:rFonts w:ascii="Arial" w:cs="Arial" w:hAnsi="Arial"/>
                <w:color w:val="000000"/>
                <w:sz w:val="20"/>
                <w:szCs w:val="20"/>
              </w:rPr>
            </w:pPr>
            <w:r>
              <w:rPr>
                <w:rFonts w:ascii="Arial" w:cs="Arial" w:hAnsi="Arial"/>
                <w:color w:val="000000"/>
                <w:sz w:val="20"/>
                <w:szCs w:val="20"/>
              </w:rPr>
              <w:t>Refer/Fail</w:t>
            </w:r>
          </w:p>
          <w:p>
            <w:pPr>
              <w:pStyle w:val="style0"/>
              <w:autoSpaceDE w:val="false"/>
              <w:autoSpaceDN w:val="false"/>
              <w:adjustRightInd w:val="false"/>
              <w:spacing w:before="40"/>
              <w:rPr>
                <w:rFonts w:ascii="Arial" w:cs="Arial" w:hAnsi="Arial"/>
                <w:color w:val="000000"/>
                <w:sz w:val="20"/>
                <w:szCs w:val="20"/>
              </w:rPr>
            </w:pPr>
          </w:p>
        </w:tc>
      </w:tr>
      <w:tr>
        <w:tblPrEx/>
        <w:trPr/>
        <w:tc>
          <w:tcPr>
            <w:tcW w:w="1559" w:type="dxa"/>
            <w:tcBorders/>
            <w:shd w:val="clear" w:color="auto" w:fill="cfe7ed"/>
          </w:tcPr>
          <w:p>
            <w:pPr>
              <w:pStyle w:val="style0"/>
              <w:autoSpaceDE w:val="false"/>
              <w:autoSpaceDN w:val="false"/>
              <w:adjustRightInd w:val="false"/>
              <w:spacing w:before="40"/>
              <w:rPr>
                <w:rFonts w:ascii="Arial" w:cs="Arial" w:hAnsi="Arial"/>
                <w:color w:val="000000"/>
                <w:sz w:val="20"/>
                <w:szCs w:val="20"/>
              </w:rPr>
            </w:pPr>
            <w:r>
              <w:rPr>
                <w:rFonts w:ascii="Arial" w:cs="Arial" w:hAnsi="Arial"/>
                <w:color w:val="000000"/>
                <w:sz w:val="20"/>
                <w:szCs w:val="20"/>
              </w:rPr>
              <w:t>24 to 30</w:t>
            </w:r>
          </w:p>
        </w:tc>
        <w:tc>
          <w:tcPr>
            <w:tcW w:w="1418" w:type="dxa"/>
            <w:tcBorders/>
            <w:shd w:val="clear" w:color="auto" w:fill="cfe7ed"/>
          </w:tcPr>
          <w:p>
            <w:pPr>
              <w:pStyle w:val="style0"/>
              <w:autoSpaceDE w:val="false"/>
              <w:autoSpaceDN w:val="false"/>
              <w:adjustRightInd w:val="false"/>
              <w:spacing w:before="40"/>
              <w:rPr>
                <w:rFonts w:ascii="Arial" w:cs="Arial" w:hAnsi="Arial"/>
                <w:color w:val="000000"/>
                <w:sz w:val="20"/>
                <w:szCs w:val="20"/>
              </w:rPr>
            </w:pPr>
            <w:r>
              <w:rPr>
                <w:rFonts w:ascii="Arial" w:cs="Arial" w:hAnsi="Arial"/>
                <w:color w:val="000000"/>
                <w:sz w:val="20"/>
                <w:szCs w:val="20"/>
              </w:rPr>
              <w:t>Low Pass</w:t>
            </w:r>
          </w:p>
          <w:p>
            <w:pPr>
              <w:pStyle w:val="style0"/>
              <w:autoSpaceDE w:val="false"/>
              <w:autoSpaceDN w:val="false"/>
              <w:adjustRightInd w:val="false"/>
              <w:spacing w:before="40"/>
              <w:rPr>
                <w:rFonts w:ascii="Arial" w:cs="Arial" w:hAnsi="Arial"/>
                <w:color w:val="000000"/>
                <w:sz w:val="20"/>
                <w:szCs w:val="20"/>
              </w:rPr>
            </w:pPr>
          </w:p>
        </w:tc>
      </w:tr>
      <w:tr>
        <w:tblPrEx/>
        <w:trPr/>
        <w:tc>
          <w:tcPr>
            <w:tcW w:w="1559" w:type="dxa"/>
            <w:tcBorders/>
            <w:shd w:val="clear" w:color="auto" w:fill="7abacc"/>
          </w:tcPr>
          <w:p>
            <w:pPr>
              <w:pStyle w:val="style0"/>
              <w:autoSpaceDE w:val="false"/>
              <w:autoSpaceDN w:val="false"/>
              <w:adjustRightInd w:val="false"/>
              <w:spacing w:before="40"/>
              <w:rPr>
                <w:rFonts w:ascii="Arial" w:cs="Arial" w:hAnsi="Arial"/>
                <w:color w:val="000000"/>
                <w:sz w:val="20"/>
                <w:szCs w:val="20"/>
              </w:rPr>
            </w:pPr>
            <w:r>
              <w:rPr>
                <w:rFonts w:ascii="Arial" w:cs="Arial" w:hAnsi="Arial"/>
                <w:color w:val="000000"/>
                <w:sz w:val="20"/>
                <w:szCs w:val="20"/>
              </w:rPr>
              <w:t>31 to 39</w:t>
            </w:r>
          </w:p>
        </w:tc>
        <w:tc>
          <w:tcPr>
            <w:tcW w:w="1418" w:type="dxa"/>
            <w:tcBorders/>
            <w:shd w:val="clear" w:color="auto" w:fill="7abacc"/>
          </w:tcPr>
          <w:p>
            <w:pPr>
              <w:pStyle w:val="style0"/>
              <w:autoSpaceDE w:val="false"/>
              <w:autoSpaceDN w:val="false"/>
              <w:adjustRightInd w:val="false"/>
              <w:spacing w:before="40"/>
              <w:rPr>
                <w:rFonts w:ascii="Arial" w:cs="Arial" w:hAnsi="Arial"/>
                <w:color w:val="000000"/>
                <w:sz w:val="20"/>
                <w:szCs w:val="20"/>
              </w:rPr>
            </w:pPr>
            <w:r>
              <w:rPr>
                <w:rFonts w:ascii="Arial" w:cs="Arial" w:hAnsi="Arial"/>
                <w:color w:val="000000"/>
                <w:sz w:val="20"/>
                <w:szCs w:val="20"/>
              </w:rPr>
              <w:t>Pass</w:t>
            </w:r>
          </w:p>
          <w:p>
            <w:pPr>
              <w:pStyle w:val="style0"/>
              <w:autoSpaceDE w:val="false"/>
              <w:autoSpaceDN w:val="false"/>
              <w:adjustRightInd w:val="false"/>
              <w:spacing w:before="40"/>
              <w:rPr>
                <w:rFonts w:ascii="Arial" w:cs="Arial" w:hAnsi="Arial"/>
                <w:color w:val="000000"/>
                <w:sz w:val="20"/>
                <w:szCs w:val="20"/>
              </w:rPr>
            </w:pPr>
          </w:p>
        </w:tc>
      </w:tr>
      <w:tr>
        <w:tblPrEx/>
        <w:trPr/>
        <w:tc>
          <w:tcPr>
            <w:tcW w:w="1559" w:type="dxa"/>
            <w:tcBorders/>
            <w:shd w:val="clear" w:color="auto" w:fill="7abacc"/>
          </w:tcPr>
          <w:p>
            <w:pPr>
              <w:pStyle w:val="style0"/>
              <w:autoSpaceDE w:val="false"/>
              <w:autoSpaceDN w:val="false"/>
              <w:adjustRightInd w:val="false"/>
              <w:spacing w:before="40"/>
              <w:rPr>
                <w:rFonts w:ascii="Arial" w:cs="Arial" w:hAnsi="Arial"/>
                <w:color w:val="000000"/>
                <w:sz w:val="20"/>
                <w:szCs w:val="20"/>
              </w:rPr>
            </w:pPr>
            <w:r>
              <w:rPr>
                <w:rFonts w:ascii="Arial" w:cs="Arial" w:hAnsi="Arial"/>
                <w:color w:val="000000"/>
                <w:sz w:val="20"/>
                <w:szCs w:val="20"/>
              </w:rPr>
              <w:t>40 to 48</w:t>
            </w:r>
          </w:p>
        </w:tc>
        <w:tc>
          <w:tcPr>
            <w:tcW w:w="1418" w:type="dxa"/>
            <w:tcBorders/>
            <w:shd w:val="clear" w:color="auto" w:fill="7abacc"/>
          </w:tcPr>
          <w:p>
            <w:pPr>
              <w:pStyle w:val="style0"/>
              <w:autoSpaceDE w:val="false"/>
              <w:autoSpaceDN w:val="false"/>
              <w:adjustRightInd w:val="false"/>
              <w:spacing w:before="40"/>
              <w:rPr>
                <w:rFonts w:ascii="Arial" w:cs="Arial" w:hAnsi="Arial"/>
                <w:color w:val="000000"/>
                <w:sz w:val="20"/>
                <w:szCs w:val="20"/>
              </w:rPr>
            </w:pPr>
            <w:r>
              <w:rPr>
                <w:rFonts w:ascii="Arial" w:cs="Arial" w:hAnsi="Arial"/>
                <w:color w:val="000000"/>
                <w:sz w:val="20"/>
                <w:szCs w:val="20"/>
              </w:rPr>
              <w:t>High Pass</w:t>
            </w:r>
          </w:p>
          <w:p>
            <w:pPr>
              <w:pStyle w:val="style0"/>
              <w:autoSpaceDE w:val="false"/>
              <w:autoSpaceDN w:val="false"/>
              <w:adjustRightInd w:val="false"/>
              <w:spacing w:before="40"/>
              <w:rPr>
                <w:rFonts w:ascii="Arial" w:cs="Arial" w:hAnsi="Arial"/>
                <w:color w:val="000000"/>
                <w:sz w:val="20"/>
                <w:szCs w:val="20"/>
              </w:rPr>
            </w:pPr>
          </w:p>
        </w:tc>
      </w:tr>
    </w:tbl>
    <w:p>
      <w:pPr>
        <w:pStyle w:val="style0"/>
        <w:autoSpaceDE w:val="false"/>
        <w:autoSpaceDN w:val="false"/>
        <w:adjustRightInd w:val="false"/>
        <w:spacing w:after="0" w:lineRule="auto" w:line="240"/>
        <w:rPr>
          <w:rFonts w:ascii="Arial" w:cs="Arial" w:hAnsi="Arial"/>
          <w:color w:val="000000"/>
        </w:rPr>
      </w:pPr>
    </w:p>
    <w:sectPr>
      <w:pgSz w:w="16838" w:h="11906" w:orient="landscape"/>
      <w:pgMar w:top="683" w:right="2249"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0020507"/>
    <w:charset w:val="02"/>
    <w:family w:val="roman"/>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5B" w:usb2="00000009" w:usb3="00000000" w:csb0="000001FF" w:csb1="00000000"/>
  </w:font>
  <w:font w:name="Courier New">
    <w:altName w:val="Courier New"/>
    <w:panose1 w:val="02070309020000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Arial Bold">
    <w:altName w:val="Arial"/>
    <w:panose1 w:val="020b0704020000020204"/>
    <w:charset w:val="00"/>
    <w:family w:val="auto"/>
    <w:pitch w:val="variable"/>
    <w:sig w:usb0="E0002AFF" w:usb1="C0007843" w:usb2="00000009" w:usb3="00000000" w:csb0="000001FF" w:csb1="00000000"/>
  </w:font>
  <w:font w:name="Arial">
    <w:altName w:val="Arial"/>
    <w:panose1 w:val="020b0604020000020204"/>
    <w:charset w:val="00"/>
    <w:family w:val="swiss"/>
    <w:pitch w:val="variable"/>
    <w:sig w:usb0="E0002EFF" w:usb1="C000785B" w:usb2="00000009" w:usb3="00000000" w:csb0="000001FF" w:csb1="00000000"/>
  </w:font>
  <w:font w:name="Calibri">
    <w:altName w:val="Calibri"/>
    <w:panose1 w:val="020f0502020000030204"/>
    <w:charset w:val="00"/>
    <w:family w:val="swiss"/>
    <w:pitch w:val="variable"/>
    <w:sig w:usb0="E4002EFF" w:usb1="C000247B" w:usb2="00000009" w:usb3="00000000" w:csb0="000001FF" w:csb1="00000000"/>
  </w:font>
  <w:font w:name="SimSun">
    <w:altName w:val="宋体"/>
    <w:panose1 w:val="02010600030000010101"/>
    <w:charset w:val="86"/>
    <w:family w:val="auto"/>
    <w:pitch w:val="variable"/>
    <w:sig w:usb0="00000203" w:usb1="288F0000" w:usb2="00000016" w:usb3="00000000" w:csb0="00040001" w:csb1="00000000"/>
  </w:font>
  <w:font w:name="Georgia">
    <w:altName w:val="Georgia"/>
    <w:panose1 w:val="02040502050000020303"/>
    <w:charset w:val="00"/>
    <w:family w:val="roman"/>
    <w:pitch w:val="variable"/>
    <w:sig w:usb0="00000287" w:usb1="00000000" w:usb2="00000000" w:usb3="00000000" w:csb0="0000009F" w:csb1="00000000"/>
  </w:font>
  <w:font w:name="Calibri Light">
    <w:altName w:val="Calibri Light"/>
    <w:panose1 w:val="020f0302020000030204"/>
    <w:charset w:val="00"/>
    <w:family w:val="swiss"/>
    <w:pitch w:val="variable"/>
    <w:sig w:usb0="E4002EFF" w:usb1="C000247B" w:usb2="00000009" w:usb3="00000000" w:csb0="000001FF" w:csb1="00000000"/>
  </w:font>
  <w:font w:name="Cambria">
    <w:altName w:val="Cambria"/>
    <w:panose1 w:val="02040503050000030204"/>
    <w:charset w:val="00"/>
    <w:family w:val="roman"/>
    <w:pitch w:val="variable"/>
    <w:sig w:usb0="E00006FF" w:usb1="420024FF" w:usb2="02000000" w:usb3="00000000" w:csb0="0000019F" w:csb1="00000000"/>
  </w:font>
  <w:font w:name="Segoe UI">
    <w:altName w:val="Segoe UI"/>
    <w:panose1 w:val="020b0502040000020203"/>
    <w:charset w:val="00"/>
    <w:family w:val="swiss"/>
    <w:pitch w:val="variable"/>
    <w:sig w:usb0="E4002EFF" w:usb1="C000E47F" w:usb2="00000009" w:usb3="00000000" w:csb0="000001FF" w:csb1="00000000"/>
  </w:font>
  <w:font w:name="Gotham Black">
    <w:altName w:val="Calibri"/>
    <w:panose1 w:val="00000000000000000000"/>
    <w:charset w:val="00"/>
    <w:family w:val="swiss"/>
    <w:pitch w:val="default"/>
    <w:sig w:usb0="00000003" w:usb1="00000000" w:usb2="00000000" w:usb3="00000000" w:csb0="00000001" w:csb1="00000000"/>
  </w:font>
  <w:font w:name="Gotham Medium">
    <w:altName w:val="Calibri"/>
    <w:panose1 w:val="00000000000000000000"/>
    <w:charset w:val="00"/>
    <w:family w:val="swiss"/>
    <w:pitch w:val="default"/>
    <w:sig w:usb0="00000003" w:usb1="00000000" w:usb2="00000000" w:usb3="00000000" w:csb0="00000001" w:csb1="00000000"/>
  </w:font>
  <w:font w:name="GWJAPF+ZapfDingbatsITC">
    <w:altName w:val="Zapf Dingbats"/>
    <w:panose1 w:val="00000000000000000000"/>
    <w:charset w:val="00"/>
    <w:family w:val="auto"/>
    <w:pitch w:val="default"/>
    <w:sig w:usb0="00000003" w:usb1="00000000" w:usb2="00000000" w:usb3="00000000" w:csb0="00000001" w:csb1="00000000"/>
  </w:font>
  <w:font w:name="Geneva">
    <w:altName w:val="Segoe UI Symbol"/>
    <w:panose1 w:val="00000000000000000000"/>
    <w:charset w:val="00"/>
    <w:family w:val="swiss"/>
    <w:pitch w:val="variable"/>
    <w:sig w:usb0="E00002FF" w:usb1="5200205F" w:usb2="00A0C000" w:usb3="00000000" w:csb0="0000019F" w:csb1="00000000"/>
  </w:font>
  <w:font w:name="Trebuchet MS">
    <w:altName w:val="Trebuchet MS"/>
    <w:panose1 w:val="020b0603020000020204"/>
    <w:charset w:val="00"/>
    <w:family w:val="swiss"/>
    <w:pitch w:val="variable"/>
    <w:sig w:usb0="00000687" w:usb1="00000000" w:usb2="00000000" w:usb3="00000000" w:csb0="0000009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ind w:right="-851"/>
      <w:rPr>
        <w:rStyle w:val="style41"/>
        <w:rFonts w:ascii="Arial" w:cs="Arial" w:hAnsi="Arial"/>
        <w:color w:val="ffffff"/>
      </w:rPr>
    </w:pPr>
    <w:r>
      <w:rPr>
        <w:rFonts w:ascii="Arial" w:cs="Arial" w:hAnsi="Arial"/>
        <w:noProof/>
        <w:color w:val="ffffff"/>
        <w:sz w:val="16"/>
        <w:szCs w:val="16"/>
        <w:lang w:eastAsia="en-GB"/>
      </w:rPr>
      <mc:AlternateContent>
        <mc:Choice Requires="wps">
          <w:drawing>
            <wp:anchor distT="0" distB="0" distL="0" distR="0" simplePos="false" relativeHeight="2" behindDoc="true" locked="false" layoutInCell="true" allowOverlap="true">
              <wp:simplePos x="0" y="0"/>
              <wp:positionH relativeFrom="page">
                <wp:posOffset>0</wp:posOffset>
              </wp:positionH>
              <wp:positionV relativeFrom="paragraph">
                <wp:posOffset>-239395</wp:posOffset>
              </wp:positionV>
              <wp:extent cx="10972800" cy="1013460"/>
              <wp:effectExtent l="0" t="0" r="0" b="0"/>
              <wp:wrapNone/>
              <wp:docPr id="4097" name="Rectangle 12"/>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0972800" cy="1013460"/>
                      </a:xfrm>
                      <a:prstGeom prst="rect"/>
                      <a:solidFill>
                        <a:srgbClr val="347789"/>
                      </a:solidFill>
                      <a:ln>
                        <a:noFill/>
                      </a:ln>
                    </wps:spPr>
                    <wps:bodyPr>
                      <a:prstTxWarp prst="textNoShape"/>
                    </wps:bodyPr>
                  </wps:wsp>
                </a:graphicData>
              </a:graphic>
              <wp14:sizeRelH relativeFrom="margin">
                <wp14:pctWidth>0</wp14:pctWidth>
              </wp14:sizeRelH>
              <wp14:sizeRelV relativeFrom="margin">
                <wp14:pctHeight>0</wp14:pctHeight>
              </wp14:sizeRelV>
            </wp:anchor>
          </w:drawing>
        </mc:Choice>
        <mc:Fallback>
          <w:pict>
            <v:rect id="4097" fillcolor="#347789" stroked="f" style="position:absolute;margin-left:0.0pt;margin-top:-18.85pt;width:864.0pt;height:79.8pt;z-index:-2147483645;mso-position-horizontal-relative:page;mso-position-vertical-relative:text;mso-width-percent:0;mso-height-percent:0;mso-width-relative:margin;mso-height-relative:margin;mso-wrap-distance-left:0.0pt;mso-wrap-distance-right:0.0pt;visibility:visible;">
              <v:stroke on="f"/>
              <v:fill/>
            </v:rect>
          </w:pict>
        </mc:Fallback>
      </mc:AlternateContent>
    </w:r>
    <w:r>
      <w:rPr>
        <w:rFonts w:ascii="Arial" w:cs="Arial" w:hAnsi="Arial"/>
        <w:noProof/>
        <w:color w:val="ffffff"/>
        <w:sz w:val="20"/>
        <w:szCs w:val="20"/>
        <w:lang w:eastAsia="en-GB"/>
      </w:rPr>
      <w:drawing>
        <wp:anchor distT="0" distB="0" distL="114300" distR="114300" simplePos="false" relativeHeight="5" behindDoc="false" locked="false" layoutInCell="true" allowOverlap="false">
          <wp:simplePos x="0" y="0"/>
          <wp:positionH relativeFrom="page">
            <wp:posOffset>8907565</wp:posOffset>
          </wp:positionH>
          <wp:positionV relativeFrom="page">
            <wp:posOffset>6532880</wp:posOffset>
          </wp:positionV>
          <wp:extent cx="1247775" cy="999456"/>
          <wp:effectExtent l="0" t="0" r="0" b="0"/>
          <wp:wrapTight wrapText="bothSides">
            <wp:wrapPolygon edited="false">
              <wp:start x="9234" y="0"/>
              <wp:lineTo x="9234" y="6591"/>
              <wp:lineTo x="0" y="7003"/>
              <wp:lineTo x="0" y="14006"/>
              <wp:lineTo x="3957" y="19774"/>
              <wp:lineTo x="3957" y="21010"/>
              <wp:lineTo x="5606" y="21010"/>
              <wp:lineTo x="7255" y="19774"/>
              <wp:lineTo x="19786" y="14006"/>
              <wp:lineTo x="21105" y="11947"/>
              <wp:lineTo x="21105" y="9063"/>
              <wp:lineTo x="11212" y="6591"/>
              <wp:lineTo x="11212" y="0"/>
              <wp:lineTo x="9234" y="0"/>
            </wp:wrapPolygon>
          </wp:wrapTight>
          <wp:docPr id="4098" name="Picture 276115865"/>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Picture 276115865"/>
                  <pic:cNvPicPr/>
                </pic:nvPicPr>
                <pic:blipFill>
                  <a:blip r:embed="rId1" cstate="print"/>
                  <a:srcRect l="0" t="0" r="0" b="0"/>
                  <a:stretch/>
                </pic:blipFill>
                <pic:spPr>
                  <a:xfrm rot="0">
                    <a:off x="0" y="0"/>
                    <a:ext cx="1247775" cy="999456"/>
                  </a:xfrm>
                  <a:prstGeom prst="rect"/>
                  <a:ln>
                    <a:noFill/>
                  </a:ln>
                </pic:spPr>
              </pic:pic>
            </a:graphicData>
          </a:graphic>
          <wp14:sizeRelH relativeFrom="page">
            <wp14:pctWidth>0</wp14:pctWidth>
          </wp14:sizeRelH>
          <wp14:sizeRelV relativeFrom="page">
            <wp14:pctHeight>0</wp14:pctHeight>
          </wp14:sizeRelV>
        </wp:anchor>
      </w:drawing>
    </w:r>
    <w:r>
      <w:rPr>
        <w:rFonts w:ascii="Arial" w:cs="Arial" w:hAnsi="Arial"/>
        <w:noProof/>
        <w:color w:val="ffffff"/>
        <w:sz w:val="20"/>
        <w:szCs w:val="20"/>
        <w:lang w:eastAsia="en-GB"/>
      </w:rPr>
      <w:drawing>
        <wp:anchor distT="0" distB="0" distL="114300" distR="114300" simplePos="false" relativeHeight="3" behindDoc="false" locked="false" layoutInCell="true" allowOverlap="false">
          <wp:simplePos x="0" y="0"/>
          <wp:positionH relativeFrom="page">
            <wp:posOffset>5829300</wp:posOffset>
          </wp:positionH>
          <wp:positionV relativeFrom="page">
            <wp:posOffset>9579825</wp:posOffset>
          </wp:positionV>
          <wp:extent cx="1247775" cy="999456"/>
          <wp:effectExtent l="0" t="0" r="0" b="0"/>
          <wp:wrapTight wrapText="bothSides">
            <wp:wrapPolygon edited="false">
              <wp:start x="9234" y="0"/>
              <wp:lineTo x="9234" y="6591"/>
              <wp:lineTo x="0" y="7003"/>
              <wp:lineTo x="0" y="14006"/>
              <wp:lineTo x="3957" y="19774"/>
              <wp:lineTo x="3957" y="21010"/>
              <wp:lineTo x="5606" y="21010"/>
              <wp:lineTo x="7255" y="19774"/>
              <wp:lineTo x="19786" y="14006"/>
              <wp:lineTo x="21105" y="11947"/>
              <wp:lineTo x="21105" y="9063"/>
              <wp:lineTo x="11212" y="6591"/>
              <wp:lineTo x="11212" y="0"/>
              <wp:lineTo x="9234" y="0"/>
            </wp:wrapPolygon>
          </wp:wrapTight>
          <wp:docPr id="4099" name="Picture 41150417"/>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Picture 41150417"/>
                  <pic:cNvPicPr/>
                </pic:nvPicPr>
                <pic:blipFill>
                  <a:blip r:embed="rId1" cstate="print"/>
                  <a:srcRect l="0" t="0" r="0" b="0"/>
                  <a:stretch/>
                </pic:blipFill>
                <pic:spPr>
                  <a:xfrm rot="0">
                    <a:off x="0" y="0"/>
                    <a:ext cx="1247775" cy="999456"/>
                  </a:xfrm>
                  <a:prstGeom prst="rect"/>
                  <a:ln>
                    <a:noFill/>
                  </a:ln>
                </pic:spPr>
              </pic:pic>
            </a:graphicData>
          </a:graphic>
          <wp14:sizeRelH relativeFrom="page">
            <wp14:pctWidth>0</wp14:pctWidth>
          </wp14:sizeRelH>
          <wp14:sizeRelV relativeFrom="page">
            <wp14:pctHeight>0</wp14:pctHeight>
          </wp14:sizeRelV>
        </wp:anchor>
      </w:drawing>
    </w:r>
  </w:p>
  <w:p>
    <w:pPr>
      <w:pStyle w:val="style32"/>
      <w:framePr w:wrap="around" w:hAnchor="margin" w:vAnchor="text" w:xAlign="center" w:y="111"/>
      <w:rPr>
        <w:rStyle w:val="style41"/>
        <w:rFonts w:ascii="Arial" w:cs="Arial" w:hAnsi="Arial"/>
      </w:rPr>
    </w:pPr>
    <w:r>
      <w:rPr>
        <w:rStyle w:val="style41"/>
        <w:rFonts w:ascii="Arial" w:cs="Arial" w:hAnsi="Arial"/>
        <w:color w:val="ffffff"/>
      </w:rPr>
      <w:fldChar w:fldCharType="begin"/>
    </w:r>
    <w:r>
      <w:rPr>
        <w:rStyle w:val="style41"/>
        <w:rFonts w:ascii="Arial" w:cs="Arial" w:hAnsi="Arial"/>
        <w:color w:val="ffffff"/>
      </w:rPr>
      <w:instrText xml:space="preserve"> PAGE </w:instrText>
    </w:r>
    <w:r>
      <w:rPr>
        <w:rStyle w:val="style41"/>
        <w:rFonts w:ascii="Arial" w:cs="Arial" w:hAnsi="Arial"/>
        <w:color w:val="ffffff"/>
      </w:rPr>
      <w:fldChar w:fldCharType="separate"/>
    </w:r>
    <w:r>
      <w:rPr>
        <w:rStyle w:val="style41"/>
        <w:rFonts w:ascii="Arial" w:cs="Arial" w:hAnsi="Arial"/>
        <w:color w:val="ffffff"/>
      </w:rPr>
      <w:t>1</w:t>
    </w:r>
    <w:r>
      <w:rPr>
        <w:rStyle w:val="style41"/>
        <w:rFonts w:ascii="Arial" w:cs="Arial" w:hAnsi="Arial"/>
        <w:color w:val="ffffff"/>
      </w:rPr>
      <w:fldChar w:fldCharType="end"/>
    </w:r>
  </w:p>
  <w:p>
    <w:pPr>
      <w:pStyle w:val="style32"/>
      <w:tabs>
        <w:tab w:val="clear" w:pos="4513"/>
        <w:tab w:val="clear" w:pos="9026"/>
      </w:tabs>
      <w:ind w:right="360"/>
      <w:rPr>
        <w:rFonts w:ascii="Arial" w:cs="Arial" w:hAnsi="Arial"/>
        <w:color w:val="ffffff"/>
        <w:sz w:val="14"/>
        <w:szCs w:val="14"/>
      </w:rPr>
    </w:pPr>
    <w:r>
      <w:rPr>
        <w:rFonts w:ascii="Arial" w:cs="Arial" w:hAnsi="Arial"/>
        <w:noProof/>
        <w:color w:val="ffffff"/>
        <w:sz w:val="20"/>
        <w:szCs w:val="20"/>
        <w:lang w:eastAsia="en-GB"/>
      </w:rPr>
      <mc:AlternateContent>
        <mc:Choice Requires="wps">
          <w:drawing>
            <wp:anchor distT="0" distB="0" distL="0" distR="0" simplePos="false" relativeHeight="6" behindDoc="false" locked="true" layoutInCell="true" allowOverlap="true">
              <wp:simplePos x="0" y="0"/>
              <wp:positionH relativeFrom="page">
                <wp:posOffset>-68239</wp:posOffset>
              </wp:positionH>
              <wp:positionV relativeFrom="page">
                <wp:posOffset>6564573</wp:posOffset>
              </wp:positionV>
              <wp:extent cx="6350" cy="666750"/>
              <wp:effectExtent l="57150" t="38100" r="69850" b="76200"/>
              <wp:wrapNone/>
              <wp:docPr id="4100" name="Straight Connector 36"/>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flipH="1" flipV="1">
                        <a:off x="0" y="0"/>
                        <a:ext cx="6350" cy="666750"/>
                      </a:xfrm>
                      <a:prstGeom prst="line"/>
                      <a:ln cmpd="sng" cap="flat" w="12700">
                        <a:solidFill>
                          <a:srgbClr val="ffffff"/>
                        </a:solidFill>
                        <a:prstDash val="solid"/>
                        <a:miter/>
                        <a:headEnd len="med" w="med" type="none"/>
                        <a:tailEnd len="med" w="med" type="none"/>
                      </a:ln>
                    </wps:spPr>
                    <wps:bodyPr>
                      <a:prstTxWarp prst="textNoShape"/>
                    </wps:bodyPr>
                  </wps:wsp>
                </a:graphicData>
              </a:graphic>
              <wp14:sizeRelH relativeFrom="margin">
                <wp14:pctWidth>0</wp14:pctWidth>
              </wp14:sizeRelH>
              <wp14:sizeRelV relativeFrom="margin">
                <wp14:pctHeight>0</wp14:pctHeight>
              </wp14:sizeRelV>
            </wp:anchor>
          </w:drawing>
        </mc:Choice>
        <mc:Fallback>
          <w:pict>
            <v:line id="4100" filled="f" stroked="t" from="-5.37315pt,516.8955pt" to="-4.87315pt,569.3955pt" style="position:absolute;z-index:6;mso-position-horizontal-relative:page;mso-position-vertical-relative:page;mso-width-percent:0;mso-height-percent:0;mso-width-relative:margin;mso-height-relative:margin;mso-wrap-distance-left:0.0pt;mso-wrap-distance-right:0.0pt;visibility:visible;flip:x y;">
              <w10:anchorlock/>
              <v:stroke joinstyle="miter" color="white" weight="1.0pt"/>
              <v:fill/>
            </v:line>
          </w:pict>
        </mc:Fallback>
      </mc:AlternateContent>
    </w:r>
    <w:r>
      <w:rPr>
        <w:rFonts w:ascii="Arial" w:cs="Arial" w:hAnsi="Arial"/>
        <w:noProof/>
        <w:color w:val="ffffff"/>
        <w:sz w:val="20"/>
        <w:szCs w:val="20"/>
        <w:lang w:eastAsia="en-GB"/>
      </w:rPr>
      <mc:AlternateContent>
        <mc:Choice Requires="wps">
          <w:drawing>
            <wp:anchor distT="0" distB="0" distL="0" distR="0" simplePos="false" relativeHeight="4" behindDoc="false" locked="true" layoutInCell="true" allowOverlap="true">
              <wp:simplePos x="0" y="0"/>
              <wp:positionH relativeFrom="page">
                <wp:posOffset>426085</wp:posOffset>
              </wp:positionH>
              <wp:positionV relativeFrom="page">
                <wp:posOffset>10103485</wp:posOffset>
              </wp:positionV>
              <wp:extent cx="0" cy="571500"/>
              <wp:effectExtent l="57150" t="38100" r="76200" b="76200"/>
              <wp:wrapNone/>
              <wp:docPr id="4101" name="Straight Connector 13"/>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flipV="1">
                        <a:off x="0" y="0"/>
                        <a:ext cx="0" cy="571500"/>
                      </a:xfrm>
                      <a:prstGeom prst="line"/>
                      <a:ln cmpd="sng" cap="flat" w="12700">
                        <a:solidFill>
                          <a:srgbClr val="ffffff"/>
                        </a:solidFill>
                        <a:prstDash val="solid"/>
                        <a:miter/>
                        <a:headEnd len="med" w="med" type="none"/>
                        <a:tailEnd len="med" w="med" type="none"/>
                      </a:ln>
                    </wps:spPr>
                    <wps:bodyPr>
                      <a:prstTxWarp prst="textNoShape"/>
                    </wps:bodyPr>
                  </wps:wsp>
                </a:graphicData>
              </a:graphic>
            </wp:anchor>
          </w:drawing>
        </mc:Choice>
        <mc:Fallback>
          <w:pict>
            <v:line id="4101" filled="f" stroked="t" from="33.55pt,795.55005pt" to="33.55pt,840.55005pt" style="position:absolute;z-index:4;mso-position-horizontal-relative:page;mso-position-vertical-relative:page;mso-width-relative:page;mso-height-relative:page;mso-wrap-distance-left:0.0pt;mso-wrap-distance-right:0.0pt;visibility:visible;flip:y;">
              <w10:anchorlock/>
              <v:stroke joinstyle="miter" color="white" weight="1.0pt"/>
              <v:fill/>
            </v:line>
          </w:pict>
        </mc:Fallback>
      </mc:AlternateContent>
    </w:r>
    <w:r>
      <w:rPr>
        <w:rFonts w:ascii="Arial" w:cs="Arial" w:hAnsi="Arial"/>
        <w:color w:val="ffffff"/>
        <w:sz w:val="14"/>
        <w:szCs w:val="14"/>
      </w:rPr>
      <w:t xml:space="preserve">CIPD L5 CO01 Associate Diploma in People Management/ </w:t>
    </w:r>
  </w:p>
  <w:p>
    <w:pPr>
      <w:pStyle w:val="style32"/>
      <w:tabs>
        <w:tab w:val="clear" w:pos="4513"/>
        <w:tab w:val="clear" w:pos="9026"/>
      </w:tabs>
      <w:ind w:right="360"/>
      <w:rPr>
        <w:rFonts w:ascii="Arial" w:cs="Arial" w:hAnsi="Arial"/>
        <w:color w:val="ffffff"/>
        <w:sz w:val="14"/>
        <w:szCs w:val="14"/>
      </w:rPr>
    </w:pPr>
    <w:r>
      <w:rPr>
        <w:rFonts w:ascii="Arial" w:cs="Arial" w:hAnsi="Arial"/>
        <w:color w:val="ffffff"/>
        <w:sz w:val="14"/>
        <w:szCs w:val="14"/>
      </w:rPr>
      <w:t>Associate Diploma in Learning and Development</w:t>
    </w:r>
  </w:p>
  <w:p>
    <w:pPr>
      <w:pStyle w:val="style32"/>
      <w:tabs>
        <w:tab w:val="clear" w:pos="4513"/>
        <w:tab w:val="clear" w:pos="9026"/>
      </w:tabs>
      <w:ind w:right="360"/>
      <w:rPr>
        <w:rFonts w:ascii="Arial" w:cs="Arial" w:hAnsi="Arial"/>
        <w:color w:val="ffffff"/>
        <w:sz w:val="12"/>
        <w:szCs w:val="12"/>
      </w:rPr>
    </w:pPr>
    <w:r>
      <w:rPr>
        <w:rFonts w:ascii="Arial" w:cs="Arial" w:hAnsi="Arial"/>
        <w:color w:val="ffffff"/>
        <w:sz w:val="12"/>
        <w:szCs w:val="12"/>
      </w:rPr>
      <w:t>Assessment submission template v1     06/2025</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6C461254"/>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
    <w:nsid w:val="00000001"/>
    <w:multiLevelType w:val="hybridMultilevel"/>
    <w:tmpl w:val="0AD62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9C3E64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cs="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cs="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cs="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0000003"/>
    <w:multiLevelType w:val="multilevel"/>
    <w:tmpl w:val="EB548A74"/>
    <w:lvl w:ilvl="0">
      <w:start w:val="2"/>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4">
    <w:nsid w:val="00000004"/>
    <w:multiLevelType w:val="hybridMultilevel"/>
    <w:tmpl w:val="9CC6BF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0000005"/>
    <w:multiLevelType w:val="hybridMultilevel"/>
    <w:tmpl w:val="8258CE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cs="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cs="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cs="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00000006"/>
    <w:multiLevelType w:val="hybridMultilevel"/>
    <w:tmpl w:val="A3F6AC86"/>
    <w:lvl w:ilvl="0" w:tplc="292E0DC8">
      <w:start w:val="1"/>
      <w:numFmt w:val="bullet"/>
      <w:lvlText w:val=""/>
      <w:lvlJc w:val="left"/>
      <w:pPr>
        <w:ind w:left="1080" w:hanging="360"/>
      </w:pPr>
      <w:rPr>
        <w:rFonts w:ascii="Symbol" w:hAnsi="Symbol" w:hint="default"/>
        <w:color w:val="004147"/>
      </w:rPr>
    </w:lvl>
    <w:lvl w:ilvl="1" w:tplc="08090003" w:tentative="1">
      <w:start w:val="1"/>
      <w:numFmt w:val="bullet"/>
      <w:lvlText w:val="o"/>
      <w:lvlJc w:val="left"/>
      <w:pPr>
        <w:ind w:left="1800" w:hanging="360"/>
      </w:pPr>
      <w:rPr>
        <w:rFonts w:ascii="Courier New" w:cs="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cs="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cs="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00000007"/>
    <w:multiLevelType w:val="hybridMultilevel"/>
    <w:tmpl w:val="0F184A18"/>
    <w:lvl w:ilvl="0" w:tplc="5388EE60">
      <w:start w:val="1"/>
      <w:numFmt w:val="bullet"/>
      <w:lvlText w:val=""/>
      <w:lvlJc w:val="left"/>
      <w:pPr>
        <w:ind w:left="720" w:hanging="360"/>
      </w:pPr>
      <w:rPr>
        <w:rFonts w:ascii="Wingdings" w:cs="Wingdings" w:eastAsia="Wingdings" w:hAnsi="Wingdings" w:hint="default"/>
        <w:color w:val="00606a"/>
        <w:w w:val="100"/>
        <w:sz w:val="22"/>
        <w:szCs w:val="22"/>
        <w:lang w:val="en-GB" w:bidi="ar-SA" w:eastAsia="en-US"/>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0000008"/>
    <w:multiLevelType w:val="hybridMultilevel"/>
    <w:tmpl w:val="EC82E336"/>
    <w:lvl w:ilvl="0" w:tplc="08090011">
      <w:start w:val="1"/>
      <w:numFmt w:val="decimal"/>
      <w:lvlText w:val="%1)"/>
      <w:lvlJc w:val="left"/>
      <w:pPr>
        <w:ind w:left="720" w:hanging="360"/>
      </w:pPr>
    </w:lvl>
    <w:lvl w:ilvl="1" w:tplc="AB78B188" w:tentative="1">
      <w:start w:val="1"/>
      <w:numFmt w:val="lowerLetter"/>
      <w:lvlText w:val="%2."/>
      <w:lvlJc w:val="left"/>
      <w:pPr>
        <w:ind w:left="1440" w:hanging="360"/>
      </w:pPr>
    </w:lvl>
    <w:lvl w:ilvl="2" w:tplc="5B60DFBC" w:tentative="1">
      <w:start w:val="1"/>
      <w:numFmt w:val="lowerRoman"/>
      <w:lvlText w:val="%3."/>
      <w:lvlJc w:val="right"/>
      <w:pPr>
        <w:ind w:left="2160" w:hanging="180"/>
      </w:pPr>
    </w:lvl>
    <w:lvl w:ilvl="3" w:tplc="D5C43BD8" w:tentative="1">
      <w:start w:val="1"/>
      <w:numFmt w:val="decimal"/>
      <w:lvlText w:val="%4."/>
      <w:lvlJc w:val="left"/>
      <w:pPr>
        <w:ind w:left="2880" w:hanging="360"/>
      </w:pPr>
    </w:lvl>
    <w:lvl w:ilvl="4" w:tplc="4B22D3F2" w:tentative="1">
      <w:start w:val="1"/>
      <w:numFmt w:val="lowerLetter"/>
      <w:lvlText w:val="%5."/>
      <w:lvlJc w:val="left"/>
      <w:pPr>
        <w:ind w:left="3600" w:hanging="360"/>
      </w:pPr>
    </w:lvl>
    <w:lvl w:ilvl="5" w:tplc="8D2E8596" w:tentative="1">
      <w:start w:val="1"/>
      <w:numFmt w:val="lowerRoman"/>
      <w:lvlText w:val="%6."/>
      <w:lvlJc w:val="right"/>
      <w:pPr>
        <w:ind w:left="4320" w:hanging="180"/>
      </w:pPr>
    </w:lvl>
    <w:lvl w:ilvl="6" w:tplc="683C3E14" w:tentative="1">
      <w:start w:val="1"/>
      <w:numFmt w:val="decimal"/>
      <w:lvlText w:val="%7."/>
      <w:lvlJc w:val="left"/>
      <w:pPr>
        <w:ind w:left="5040" w:hanging="360"/>
      </w:pPr>
    </w:lvl>
    <w:lvl w:ilvl="7" w:tplc="07E66772" w:tentative="1">
      <w:start w:val="1"/>
      <w:numFmt w:val="lowerLetter"/>
      <w:lvlText w:val="%8."/>
      <w:lvlJc w:val="left"/>
      <w:pPr>
        <w:ind w:left="5760" w:hanging="360"/>
      </w:pPr>
    </w:lvl>
    <w:lvl w:ilvl="8" w:tplc="D9D09352" w:tentative="1">
      <w:start w:val="1"/>
      <w:numFmt w:val="lowerRoman"/>
      <w:lvlText w:val="%9."/>
      <w:lvlJc w:val="right"/>
      <w:pPr>
        <w:ind w:left="6480" w:hanging="180"/>
      </w:pPr>
    </w:lvl>
  </w:abstractNum>
  <w:abstractNum w:abstractNumId="9">
    <w:nsid w:val="00000009"/>
    <w:multiLevelType w:val="hybridMultilevel"/>
    <w:tmpl w:val="B8AC3CF8"/>
    <w:lvl w:ilvl="0" w:tplc="2EBC407E">
      <w:start w:val="1"/>
      <w:numFmt w:val="decimal"/>
      <w:lvlText w:val="%1)"/>
      <w:lvlJc w:val="left"/>
      <w:pPr>
        <w:ind w:left="643" w:hanging="360"/>
      </w:pPr>
      <w:rPr>
        <w:rFonts w:hint="default"/>
        <w:b/>
        <w:i w:val="false"/>
        <w:color w:val="44546a"/>
      </w:rPr>
    </w:lvl>
    <w:lvl w:ilvl="1" w:tplc="8EF26B62" w:tentative="1">
      <w:start w:val="1"/>
      <w:numFmt w:val="lowerLetter"/>
      <w:lvlText w:val="%2."/>
      <w:lvlJc w:val="left"/>
      <w:pPr>
        <w:ind w:left="1363" w:hanging="360"/>
      </w:pPr>
    </w:lvl>
    <w:lvl w:ilvl="2" w:tplc="FF805FD0" w:tentative="1">
      <w:start w:val="1"/>
      <w:numFmt w:val="lowerRoman"/>
      <w:lvlText w:val="%3."/>
      <w:lvlJc w:val="right"/>
      <w:pPr>
        <w:ind w:left="2083" w:hanging="180"/>
      </w:pPr>
    </w:lvl>
    <w:lvl w:ilvl="3" w:tplc="47747A70" w:tentative="1">
      <w:start w:val="1"/>
      <w:numFmt w:val="decimal"/>
      <w:lvlText w:val="%4."/>
      <w:lvlJc w:val="left"/>
      <w:pPr>
        <w:ind w:left="2803" w:hanging="360"/>
      </w:pPr>
    </w:lvl>
    <w:lvl w:ilvl="4" w:tplc="A77E13FC" w:tentative="1">
      <w:start w:val="1"/>
      <w:numFmt w:val="lowerLetter"/>
      <w:lvlText w:val="%5."/>
      <w:lvlJc w:val="left"/>
      <w:pPr>
        <w:ind w:left="3523" w:hanging="360"/>
      </w:pPr>
    </w:lvl>
    <w:lvl w:ilvl="5" w:tplc="15C0D724" w:tentative="1">
      <w:start w:val="1"/>
      <w:numFmt w:val="lowerRoman"/>
      <w:lvlText w:val="%6."/>
      <w:lvlJc w:val="right"/>
      <w:pPr>
        <w:ind w:left="4243" w:hanging="180"/>
      </w:pPr>
    </w:lvl>
    <w:lvl w:ilvl="6" w:tplc="264A597E" w:tentative="1">
      <w:start w:val="1"/>
      <w:numFmt w:val="decimal"/>
      <w:lvlText w:val="%7."/>
      <w:lvlJc w:val="left"/>
      <w:pPr>
        <w:ind w:left="4963" w:hanging="360"/>
      </w:pPr>
    </w:lvl>
    <w:lvl w:ilvl="7" w:tplc="A09857B0" w:tentative="1">
      <w:start w:val="1"/>
      <w:numFmt w:val="lowerLetter"/>
      <w:lvlText w:val="%8."/>
      <w:lvlJc w:val="left"/>
      <w:pPr>
        <w:ind w:left="5683" w:hanging="360"/>
      </w:pPr>
    </w:lvl>
    <w:lvl w:ilvl="8" w:tplc="71288F12" w:tentative="1">
      <w:start w:val="1"/>
      <w:numFmt w:val="lowerRoman"/>
      <w:lvlText w:val="%9."/>
      <w:lvlJc w:val="right"/>
      <w:pPr>
        <w:ind w:left="6403" w:hanging="180"/>
      </w:pPr>
    </w:lvl>
  </w:abstractNum>
  <w:abstractNum w:abstractNumId="10">
    <w:nsid w:val="0000000A"/>
    <w:multiLevelType w:val="hybridMultilevel"/>
    <w:tmpl w:val="31C24F38"/>
    <w:lvl w:ilvl="0" w:tplc="A3DA880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0000000B"/>
    <w:multiLevelType w:val="hybridMultilevel"/>
    <w:tmpl w:val="299E0D14"/>
    <w:lvl w:ilvl="0" w:tplc="08090001">
      <w:start w:val="1"/>
      <w:numFmt w:val="bullet"/>
      <w:lvlText w:val=""/>
      <w:lvlJc w:val="left"/>
      <w:pPr>
        <w:ind w:left="1724" w:hanging="360"/>
      </w:pPr>
      <w:rPr>
        <w:rFonts w:ascii="Symbol" w:hAnsi="Symbol" w:hint="default"/>
      </w:rPr>
    </w:lvl>
    <w:lvl w:ilvl="1" w:tplc="08090003" w:tentative="1">
      <w:start w:val="1"/>
      <w:numFmt w:val="bullet"/>
      <w:lvlText w:val="o"/>
      <w:lvlJc w:val="left"/>
      <w:pPr>
        <w:ind w:left="2444" w:hanging="360"/>
      </w:pPr>
      <w:rPr>
        <w:rFonts w:ascii="Courier New" w:cs="Courier New" w:hAnsi="Courier New" w:hint="default"/>
      </w:rPr>
    </w:lvl>
    <w:lvl w:ilvl="2" w:tplc="08090005" w:tentative="1">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cs="Courier New" w:hAnsi="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cs="Courier New" w:hAnsi="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12">
    <w:nsid w:val="0000000C"/>
    <w:multiLevelType w:val="hybridMultilevel"/>
    <w:tmpl w:val="9AB495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0000000D"/>
    <w:multiLevelType w:val="multilevel"/>
    <w:tmpl w:val="78ACB8F2"/>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4">
    <w:nsid w:val="0000000E"/>
    <w:multiLevelType w:val="hybridMultilevel"/>
    <w:tmpl w:val="90408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0000000F"/>
    <w:multiLevelType w:val="hybridMultilevel"/>
    <w:tmpl w:val="033A34D4"/>
    <w:lvl w:ilvl="0" w:tplc="AC582970">
      <w:start w:val="1"/>
      <w:numFmt w:val="bullet"/>
      <w:lvlText w:val=""/>
      <w:lvlJc w:val="left"/>
      <w:pPr>
        <w:ind w:left="1072" w:hanging="360"/>
      </w:pPr>
      <w:rPr>
        <w:rFonts w:ascii="Symbol" w:hAnsi="Symbol" w:hint="default"/>
        <w:color w:val="00616a"/>
        <w:w w:val="99"/>
        <w:sz w:val="22"/>
        <w:szCs w:val="22"/>
        <w:lang w:val="en-GB" w:bidi="ar-SA" w:eastAsia="en-US"/>
      </w:rPr>
    </w:lvl>
    <w:lvl w:ilvl="1" w:tplc="08090003">
      <w:start w:val="1"/>
      <w:numFmt w:val="bullet"/>
      <w:lvlText w:val="o"/>
      <w:lvlJc w:val="left"/>
      <w:pPr>
        <w:ind w:left="1792" w:hanging="360"/>
      </w:pPr>
      <w:rPr>
        <w:rFonts w:ascii="Courier New" w:cs="Courier New" w:hAnsi="Courier New" w:hint="default"/>
      </w:rPr>
    </w:lvl>
    <w:lvl w:ilvl="2" w:tplc="08090005" w:tentative="1">
      <w:start w:val="1"/>
      <w:numFmt w:val="bullet"/>
      <w:lvlText w:val=""/>
      <w:lvlJc w:val="left"/>
      <w:pPr>
        <w:ind w:left="2512" w:hanging="360"/>
      </w:pPr>
      <w:rPr>
        <w:rFonts w:ascii="Wingdings" w:hAnsi="Wingdings" w:hint="default"/>
      </w:rPr>
    </w:lvl>
    <w:lvl w:ilvl="3" w:tplc="08090001" w:tentative="1">
      <w:start w:val="1"/>
      <w:numFmt w:val="bullet"/>
      <w:lvlText w:val=""/>
      <w:lvlJc w:val="left"/>
      <w:pPr>
        <w:ind w:left="3232" w:hanging="360"/>
      </w:pPr>
      <w:rPr>
        <w:rFonts w:ascii="Symbol" w:hAnsi="Symbol" w:hint="default"/>
      </w:rPr>
    </w:lvl>
    <w:lvl w:ilvl="4" w:tplc="08090003" w:tentative="1">
      <w:start w:val="1"/>
      <w:numFmt w:val="bullet"/>
      <w:lvlText w:val="o"/>
      <w:lvlJc w:val="left"/>
      <w:pPr>
        <w:ind w:left="3952" w:hanging="360"/>
      </w:pPr>
      <w:rPr>
        <w:rFonts w:ascii="Courier New" w:cs="Courier New" w:hAnsi="Courier New" w:hint="default"/>
      </w:rPr>
    </w:lvl>
    <w:lvl w:ilvl="5" w:tplc="08090005" w:tentative="1">
      <w:start w:val="1"/>
      <w:numFmt w:val="bullet"/>
      <w:lvlText w:val=""/>
      <w:lvlJc w:val="left"/>
      <w:pPr>
        <w:ind w:left="4672" w:hanging="360"/>
      </w:pPr>
      <w:rPr>
        <w:rFonts w:ascii="Wingdings" w:hAnsi="Wingdings" w:hint="default"/>
      </w:rPr>
    </w:lvl>
    <w:lvl w:ilvl="6" w:tplc="08090001" w:tentative="1">
      <w:start w:val="1"/>
      <w:numFmt w:val="bullet"/>
      <w:lvlText w:val=""/>
      <w:lvlJc w:val="left"/>
      <w:pPr>
        <w:ind w:left="5392" w:hanging="360"/>
      </w:pPr>
      <w:rPr>
        <w:rFonts w:ascii="Symbol" w:hAnsi="Symbol" w:hint="default"/>
      </w:rPr>
    </w:lvl>
    <w:lvl w:ilvl="7" w:tplc="08090003" w:tentative="1">
      <w:start w:val="1"/>
      <w:numFmt w:val="bullet"/>
      <w:lvlText w:val="o"/>
      <w:lvlJc w:val="left"/>
      <w:pPr>
        <w:ind w:left="6112" w:hanging="360"/>
      </w:pPr>
      <w:rPr>
        <w:rFonts w:ascii="Courier New" w:cs="Courier New" w:hAnsi="Courier New" w:hint="default"/>
      </w:rPr>
    </w:lvl>
    <w:lvl w:ilvl="8" w:tplc="08090005" w:tentative="1">
      <w:start w:val="1"/>
      <w:numFmt w:val="bullet"/>
      <w:lvlText w:val=""/>
      <w:lvlJc w:val="left"/>
      <w:pPr>
        <w:ind w:left="6832" w:hanging="360"/>
      </w:pPr>
      <w:rPr>
        <w:rFonts w:ascii="Wingdings" w:hAnsi="Wingdings" w:hint="default"/>
      </w:rPr>
    </w:lvl>
  </w:abstractNum>
  <w:abstractNum w:abstractNumId="16">
    <w:nsid w:val="00000010"/>
    <w:multiLevelType w:val="hybridMultilevel"/>
    <w:tmpl w:val="1EFCF89E"/>
    <w:lvl w:ilvl="0" w:tplc="8812AA5C">
      <w:start w:val="1"/>
      <w:numFmt w:val="decimal"/>
      <w:lvlText w:val="%1)"/>
      <w:lvlJc w:val="left"/>
      <w:pPr>
        <w:ind w:left="643" w:hanging="360"/>
      </w:pPr>
      <w:rPr>
        <w:rFonts w:hint="default"/>
        <w:b/>
        <w:i w:val="false"/>
        <w:color w:val="auto"/>
      </w:rPr>
    </w:lvl>
    <w:lvl w:ilvl="1" w:tplc="C2D87828" w:tentative="1">
      <w:start w:val="1"/>
      <w:numFmt w:val="lowerLetter"/>
      <w:lvlText w:val="%2."/>
      <w:lvlJc w:val="left"/>
      <w:pPr>
        <w:ind w:left="1440" w:hanging="360"/>
      </w:pPr>
    </w:lvl>
    <w:lvl w:ilvl="2" w:tplc="163EA562" w:tentative="1">
      <w:start w:val="1"/>
      <w:numFmt w:val="lowerRoman"/>
      <w:lvlText w:val="%3."/>
      <w:lvlJc w:val="right"/>
      <w:pPr>
        <w:ind w:left="2160" w:hanging="180"/>
      </w:pPr>
    </w:lvl>
    <w:lvl w:ilvl="3" w:tplc="1CC04E28" w:tentative="1">
      <w:start w:val="1"/>
      <w:numFmt w:val="decimal"/>
      <w:lvlText w:val="%4."/>
      <w:lvlJc w:val="left"/>
      <w:pPr>
        <w:ind w:left="2880" w:hanging="360"/>
      </w:pPr>
    </w:lvl>
    <w:lvl w:ilvl="4" w:tplc="C268C69E" w:tentative="1">
      <w:start w:val="1"/>
      <w:numFmt w:val="lowerLetter"/>
      <w:lvlText w:val="%5."/>
      <w:lvlJc w:val="left"/>
      <w:pPr>
        <w:ind w:left="3600" w:hanging="360"/>
      </w:pPr>
    </w:lvl>
    <w:lvl w:ilvl="5" w:tplc="11A8D0DC" w:tentative="1">
      <w:start w:val="1"/>
      <w:numFmt w:val="lowerRoman"/>
      <w:lvlText w:val="%6."/>
      <w:lvlJc w:val="right"/>
      <w:pPr>
        <w:ind w:left="4320" w:hanging="180"/>
      </w:pPr>
    </w:lvl>
    <w:lvl w:ilvl="6" w:tplc="0D4A1F92" w:tentative="1">
      <w:start w:val="1"/>
      <w:numFmt w:val="decimal"/>
      <w:lvlText w:val="%7."/>
      <w:lvlJc w:val="left"/>
      <w:pPr>
        <w:ind w:left="5040" w:hanging="360"/>
      </w:pPr>
    </w:lvl>
    <w:lvl w:ilvl="7" w:tplc="874E44D6" w:tentative="1">
      <w:start w:val="1"/>
      <w:numFmt w:val="lowerLetter"/>
      <w:lvlText w:val="%8."/>
      <w:lvlJc w:val="left"/>
      <w:pPr>
        <w:ind w:left="5760" w:hanging="360"/>
      </w:pPr>
    </w:lvl>
    <w:lvl w:ilvl="8" w:tplc="4928F30E" w:tentative="1">
      <w:start w:val="1"/>
      <w:numFmt w:val="lowerRoman"/>
      <w:lvlText w:val="%9."/>
      <w:lvlJc w:val="right"/>
      <w:pPr>
        <w:ind w:left="6480" w:hanging="180"/>
      </w:pPr>
    </w:lvl>
  </w:abstractNum>
  <w:abstractNum w:abstractNumId="17">
    <w:nsid w:val="00000011"/>
    <w:multiLevelType w:val="hybridMultilevel"/>
    <w:tmpl w:val="D6701B9A"/>
    <w:lvl w:ilvl="0" w:tplc="8BDE334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00000012"/>
    <w:multiLevelType w:val="hybridMultilevel"/>
    <w:tmpl w:val="B9A20822"/>
    <w:lvl w:ilvl="0" w:tplc="6174193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00000013"/>
    <w:multiLevelType w:val="hybridMultilevel"/>
    <w:tmpl w:val="8AEE3598"/>
    <w:lvl w:ilvl="0" w:tplc="6F7432AC">
      <w:start w:val="1"/>
      <w:numFmt w:val="bullet"/>
      <w:lvlText w:val=""/>
      <w:lvlJc w:val="left"/>
      <w:pPr>
        <w:ind w:left="720" w:hanging="360"/>
      </w:pPr>
      <w:rPr>
        <w:rFonts w:ascii="Wingdings" w:hAnsi="Wingdings" w:hint="default"/>
        <w:color w:val="c45911"/>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00000014"/>
    <w:multiLevelType w:val="hybridMultilevel"/>
    <w:tmpl w:val="8A7C18B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cs="Courier New" w:hAnsi="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cs="Courier New" w:hAnsi="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cs="Courier New" w:hAnsi="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1">
    <w:nsid w:val="00000015"/>
    <w:multiLevelType w:val="hybridMultilevel"/>
    <w:tmpl w:val="7B5A9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00000016"/>
    <w:multiLevelType w:val="hybridMultilevel"/>
    <w:tmpl w:val="58E245C4"/>
    <w:lvl w:ilvl="0" w:tplc="7EFC1970">
      <w:start w:val="1"/>
      <w:numFmt w:val="bullet"/>
      <w:lvlText w:val=""/>
      <w:lvlJc w:val="left"/>
      <w:pPr>
        <w:ind w:left="1080" w:hanging="360"/>
      </w:pPr>
      <w:rPr>
        <w:rFonts w:ascii="Wingdings" w:hAnsi="Wingdings" w:hint="default"/>
        <w:color w:val="c45911"/>
      </w:rPr>
    </w:lvl>
    <w:lvl w:ilvl="1" w:tplc="08090003" w:tentative="1">
      <w:start w:val="1"/>
      <w:numFmt w:val="bullet"/>
      <w:lvlText w:val="o"/>
      <w:lvlJc w:val="left"/>
      <w:pPr>
        <w:ind w:left="1800" w:hanging="360"/>
      </w:pPr>
      <w:rPr>
        <w:rFonts w:ascii="Courier New" w:cs="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cs="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cs="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00000017"/>
    <w:multiLevelType w:val="multilevel"/>
    <w:tmpl w:val="EB548A74"/>
    <w:lvl w:ilvl="0">
      <w:start w:val="2"/>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24">
    <w:nsid w:val="00000018"/>
    <w:multiLevelType w:val="hybridMultilevel"/>
    <w:tmpl w:val="FE92BF0A"/>
    <w:lvl w:ilvl="0" w:tplc="3E74371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00000019"/>
    <w:multiLevelType w:val="hybridMultilevel"/>
    <w:tmpl w:val="61765BA4"/>
    <w:lvl w:ilvl="0" w:tplc="389C179E">
      <w:start w:val="1"/>
      <w:numFmt w:val="bullet"/>
      <w:lvlText w:val=""/>
      <w:lvlJc w:val="left"/>
      <w:pPr>
        <w:ind w:left="1080" w:hanging="360"/>
      </w:pPr>
      <w:rPr>
        <w:rFonts w:ascii="Symbol" w:hAnsi="Symbol" w:hint="default"/>
        <w:color w:val="004147"/>
      </w:rPr>
    </w:lvl>
    <w:lvl w:ilvl="1" w:tplc="08090003" w:tentative="1">
      <w:start w:val="1"/>
      <w:numFmt w:val="bullet"/>
      <w:lvlText w:val="o"/>
      <w:lvlJc w:val="left"/>
      <w:pPr>
        <w:ind w:left="1800" w:hanging="360"/>
      </w:pPr>
      <w:rPr>
        <w:rFonts w:ascii="Courier New" w:cs="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cs="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cs="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0000001A"/>
    <w:multiLevelType w:val="hybridMultilevel"/>
    <w:tmpl w:val="B8AC3CF8"/>
    <w:lvl w:ilvl="0" w:tplc="7A5827CC">
      <w:start w:val="1"/>
      <w:numFmt w:val="decimal"/>
      <w:lvlText w:val="%1)"/>
      <w:lvlJc w:val="left"/>
      <w:pPr>
        <w:ind w:left="643" w:hanging="360"/>
      </w:pPr>
      <w:rPr>
        <w:rFonts w:hint="default"/>
        <w:b/>
        <w:i w:val="false"/>
        <w:color w:val="44546a"/>
      </w:rPr>
    </w:lvl>
    <w:lvl w:ilvl="1" w:tplc="08090019" w:tentative="1">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27">
    <w:nsid w:val="0000001B"/>
    <w:multiLevelType w:val="hybridMultilevel"/>
    <w:tmpl w:val="73ACE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0000001C"/>
    <w:multiLevelType w:val="hybridMultilevel"/>
    <w:tmpl w:val="8CA05F46"/>
    <w:lvl w:ilvl="0" w:tplc="17B27E58">
      <w:start w:val="1"/>
      <w:numFmt w:val="bullet"/>
      <w:pStyle w:val="style4105"/>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0000001D"/>
    <w:multiLevelType w:val="hybridMultilevel"/>
    <w:tmpl w:val="512ED68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0000001E"/>
    <w:multiLevelType w:val="hybridMultilevel"/>
    <w:tmpl w:val="3B30F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0000001F"/>
    <w:multiLevelType w:val="hybridMultilevel"/>
    <w:tmpl w:val="7B1C69A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2">
    <w:nsid w:val="00000020"/>
    <w:multiLevelType w:val="hybridMultilevel"/>
    <w:tmpl w:val="B9D0E802"/>
    <w:lvl w:ilvl="0" w:tplc="C1429122">
      <w:start w:val="1"/>
      <w:numFmt w:val="decimal"/>
      <w:lvlText w:val="%1"/>
      <w:lvlJc w:val="left"/>
      <w:pPr>
        <w:ind w:left="1004" w:hanging="360"/>
      </w:pPr>
      <w:rPr>
        <w:rFonts w:hint="default"/>
      </w:rPr>
    </w:lvl>
    <w:lvl w:ilvl="1" w:tplc="881E7022" w:tentative="1">
      <w:start w:val="1"/>
      <w:numFmt w:val="lowerLetter"/>
      <w:lvlText w:val="%2."/>
      <w:lvlJc w:val="left"/>
      <w:pPr>
        <w:ind w:left="1724" w:hanging="360"/>
      </w:pPr>
    </w:lvl>
    <w:lvl w:ilvl="2" w:tplc="2BDE2EDA" w:tentative="1">
      <w:start w:val="1"/>
      <w:numFmt w:val="lowerRoman"/>
      <w:lvlText w:val="%3."/>
      <w:lvlJc w:val="right"/>
      <w:pPr>
        <w:ind w:left="2444" w:hanging="180"/>
      </w:pPr>
    </w:lvl>
    <w:lvl w:ilvl="3" w:tplc="C1AA3FA8" w:tentative="1">
      <w:start w:val="1"/>
      <w:numFmt w:val="decimal"/>
      <w:lvlText w:val="%4."/>
      <w:lvlJc w:val="left"/>
      <w:pPr>
        <w:ind w:left="3164" w:hanging="360"/>
      </w:pPr>
    </w:lvl>
    <w:lvl w:ilvl="4" w:tplc="5FAA6D6A" w:tentative="1">
      <w:start w:val="1"/>
      <w:numFmt w:val="lowerLetter"/>
      <w:lvlText w:val="%5."/>
      <w:lvlJc w:val="left"/>
      <w:pPr>
        <w:ind w:left="3884" w:hanging="360"/>
      </w:pPr>
    </w:lvl>
    <w:lvl w:ilvl="5" w:tplc="F4305A92" w:tentative="1">
      <w:start w:val="1"/>
      <w:numFmt w:val="lowerRoman"/>
      <w:lvlText w:val="%6."/>
      <w:lvlJc w:val="right"/>
      <w:pPr>
        <w:ind w:left="4604" w:hanging="180"/>
      </w:pPr>
    </w:lvl>
    <w:lvl w:ilvl="6" w:tplc="04D22A36" w:tentative="1">
      <w:start w:val="1"/>
      <w:numFmt w:val="decimal"/>
      <w:lvlText w:val="%7."/>
      <w:lvlJc w:val="left"/>
      <w:pPr>
        <w:ind w:left="5324" w:hanging="360"/>
      </w:pPr>
    </w:lvl>
    <w:lvl w:ilvl="7" w:tplc="E0EE9BD2" w:tentative="1">
      <w:start w:val="1"/>
      <w:numFmt w:val="lowerLetter"/>
      <w:lvlText w:val="%8."/>
      <w:lvlJc w:val="left"/>
      <w:pPr>
        <w:ind w:left="6044" w:hanging="360"/>
      </w:pPr>
    </w:lvl>
    <w:lvl w:ilvl="8" w:tplc="57CC9B10" w:tentative="1">
      <w:start w:val="1"/>
      <w:numFmt w:val="lowerRoman"/>
      <w:lvlText w:val="%9."/>
      <w:lvlJc w:val="right"/>
      <w:pPr>
        <w:ind w:left="6764" w:hanging="180"/>
      </w:pPr>
    </w:lvl>
  </w:abstractNum>
  <w:abstractNum w:abstractNumId="33">
    <w:nsid w:val="00000021"/>
    <w:multiLevelType w:val="hybridMultilevel"/>
    <w:tmpl w:val="D94A7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00000022"/>
    <w:multiLevelType w:val="hybridMultilevel"/>
    <w:tmpl w:val="1B829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00000023"/>
    <w:multiLevelType w:val="hybridMultilevel"/>
    <w:tmpl w:val="1BB67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00000024"/>
    <w:multiLevelType w:val="hybridMultilevel"/>
    <w:tmpl w:val="8F682120"/>
    <w:lvl w:ilvl="0" w:tplc="0EA4F8DE">
      <w:start w:val="1"/>
      <w:numFmt w:val="decimal"/>
      <w:lvlText w:val="%1."/>
      <w:lvlJc w:val="left"/>
      <w:pPr>
        <w:ind w:left="720"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00000025"/>
    <w:multiLevelType w:val="hybridMultilevel"/>
    <w:tmpl w:val="6098429C"/>
    <w:lvl w:ilvl="0" w:tplc="9E20DEF0">
      <w:start w:val="1"/>
      <w:numFmt w:val="bullet"/>
      <w:lvlText w:val=""/>
      <w:lvlJc w:val="left"/>
      <w:pPr>
        <w:ind w:left="720" w:hanging="360"/>
      </w:pPr>
      <w:rPr>
        <w:rFonts w:ascii="Wingdings" w:hAnsi="Wingdings" w:hint="default"/>
        <w:color w:val="c45911"/>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00000026"/>
    <w:multiLevelType w:val="hybridMultilevel"/>
    <w:tmpl w:val="A1C6B5E4"/>
    <w:lvl w:ilvl="0" w:tplc="08090015">
      <w:start w:val="1"/>
      <w:numFmt w:val="upperLetter"/>
      <w:lvlText w:val="%1."/>
      <w:lvlJc w:val="left"/>
      <w:pPr>
        <w:ind w:left="7448" w:hanging="360"/>
      </w:pPr>
      <w:rPr>
        <w:rFonts w:hint="default"/>
      </w:rPr>
    </w:lvl>
    <w:lvl w:ilvl="1" w:tplc="08090019" w:tentative="1">
      <w:start w:val="1"/>
      <w:numFmt w:val="lowerLetter"/>
      <w:lvlText w:val="%2."/>
      <w:lvlJc w:val="left"/>
      <w:pPr>
        <w:ind w:left="8168" w:hanging="360"/>
      </w:pPr>
    </w:lvl>
    <w:lvl w:ilvl="2" w:tplc="0809001B" w:tentative="1">
      <w:start w:val="1"/>
      <w:numFmt w:val="lowerRoman"/>
      <w:lvlText w:val="%3."/>
      <w:lvlJc w:val="right"/>
      <w:pPr>
        <w:ind w:left="8888" w:hanging="180"/>
      </w:pPr>
    </w:lvl>
    <w:lvl w:ilvl="3" w:tplc="0809000F" w:tentative="1">
      <w:start w:val="1"/>
      <w:numFmt w:val="decimal"/>
      <w:lvlText w:val="%4."/>
      <w:lvlJc w:val="left"/>
      <w:pPr>
        <w:ind w:left="9608" w:hanging="360"/>
      </w:pPr>
    </w:lvl>
    <w:lvl w:ilvl="4" w:tplc="08090019" w:tentative="1">
      <w:start w:val="1"/>
      <w:numFmt w:val="lowerLetter"/>
      <w:lvlText w:val="%5."/>
      <w:lvlJc w:val="left"/>
      <w:pPr>
        <w:ind w:left="10328" w:hanging="360"/>
      </w:pPr>
    </w:lvl>
    <w:lvl w:ilvl="5" w:tplc="0809001B" w:tentative="1">
      <w:start w:val="1"/>
      <w:numFmt w:val="lowerRoman"/>
      <w:lvlText w:val="%6."/>
      <w:lvlJc w:val="right"/>
      <w:pPr>
        <w:ind w:left="11048" w:hanging="180"/>
      </w:pPr>
    </w:lvl>
    <w:lvl w:ilvl="6" w:tplc="0809000F" w:tentative="1">
      <w:start w:val="1"/>
      <w:numFmt w:val="decimal"/>
      <w:lvlText w:val="%7."/>
      <w:lvlJc w:val="left"/>
      <w:pPr>
        <w:ind w:left="11768" w:hanging="360"/>
      </w:pPr>
    </w:lvl>
    <w:lvl w:ilvl="7" w:tplc="08090019" w:tentative="1">
      <w:start w:val="1"/>
      <w:numFmt w:val="lowerLetter"/>
      <w:lvlText w:val="%8."/>
      <w:lvlJc w:val="left"/>
      <w:pPr>
        <w:ind w:left="12488" w:hanging="360"/>
      </w:pPr>
    </w:lvl>
    <w:lvl w:ilvl="8" w:tplc="0809001B" w:tentative="1">
      <w:start w:val="1"/>
      <w:numFmt w:val="lowerRoman"/>
      <w:lvlText w:val="%9."/>
      <w:lvlJc w:val="right"/>
      <w:pPr>
        <w:ind w:left="13208" w:hanging="180"/>
      </w:pPr>
    </w:lvl>
  </w:abstractNum>
  <w:abstractNum w:abstractNumId="39">
    <w:nsid w:val="00000027"/>
    <w:multiLevelType w:val="hybridMultilevel"/>
    <w:tmpl w:val="EF8214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00000028"/>
    <w:multiLevelType w:val="hybridMultilevel"/>
    <w:tmpl w:val="17B87652"/>
    <w:lvl w:ilvl="0" w:tplc="FDDEDB42">
      <w:start w:val="1"/>
      <w:numFmt w:val="decimal"/>
      <w:pStyle w:val="style4098"/>
      <w:lvlText w:val="%1."/>
      <w:lvlJc w:val="left"/>
      <w:pPr>
        <w:ind w:left="360" w:hanging="360"/>
      </w:pPr>
      <w:rPr>
        <w:rFonts w:ascii="Arial Bold" w:hAnsi="Arial Bold" w:hint="default"/>
        <w:b/>
        <w:i w:val="false"/>
        <w:sz w:val="20"/>
      </w:rPr>
    </w:lvl>
    <w:lvl w:ilvl="1" w:tplc="08090019" w:tentative="1">
      <w:start w:val="1"/>
      <w:numFmt w:val="lowerLetter"/>
      <w:lvlText w:val="%2."/>
      <w:lvlJc w:val="left"/>
      <w:pPr>
        <w:ind w:left="1894" w:hanging="360"/>
      </w:pPr>
    </w:lvl>
    <w:lvl w:ilvl="2" w:tplc="0809001B" w:tentative="1">
      <w:start w:val="1"/>
      <w:numFmt w:val="lowerRoman"/>
      <w:lvlText w:val="%3."/>
      <w:lvlJc w:val="right"/>
      <w:pPr>
        <w:ind w:left="2614" w:hanging="180"/>
      </w:pPr>
    </w:lvl>
    <w:lvl w:ilvl="3" w:tplc="0809000F" w:tentative="1">
      <w:start w:val="1"/>
      <w:numFmt w:val="decimal"/>
      <w:lvlText w:val="%4."/>
      <w:lvlJc w:val="left"/>
      <w:pPr>
        <w:ind w:left="3334" w:hanging="360"/>
      </w:pPr>
    </w:lvl>
    <w:lvl w:ilvl="4" w:tplc="08090019" w:tentative="1">
      <w:start w:val="1"/>
      <w:numFmt w:val="lowerLetter"/>
      <w:lvlText w:val="%5."/>
      <w:lvlJc w:val="left"/>
      <w:pPr>
        <w:ind w:left="4054" w:hanging="360"/>
      </w:pPr>
    </w:lvl>
    <w:lvl w:ilvl="5" w:tplc="0809001B" w:tentative="1">
      <w:start w:val="1"/>
      <w:numFmt w:val="lowerRoman"/>
      <w:lvlText w:val="%6."/>
      <w:lvlJc w:val="right"/>
      <w:pPr>
        <w:ind w:left="4774" w:hanging="180"/>
      </w:pPr>
    </w:lvl>
    <w:lvl w:ilvl="6" w:tplc="0809000F" w:tentative="1">
      <w:start w:val="1"/>
      <w:numFmt w:val="decimal"/>
      <w:lvlText w:val="%7."/>
      <w:lvlJc w:val="left"/>
      <w:pPr>
        <w:ind w:left="5494" w:hanging="360"/>
      </w:pPr>
    </w:lvl>
    <w:lvl w:ilvl="7" w:tplc="08090019" w:tentative="1">
      <w:start w:val="1"/>
      <w:numFmt w:val="lowerLetter"/>
      <w:lvlText w:val="%8."/>
      <w:lvlJc w:val="left"/>
      <w:pPr>
        <w:ind w:left="6214" w:hanging="360"/>
      </w:pPr>
    </w:lvl>
    <w:lvl w:ilvl="8" w:tplc="0809001B" w:tentative="1">
      <w:start w:val="1"/>
      <w:numFmt w:val="lowerRoman"/>
      <w:lvlText w:val="%9."/>
      <w:lvlJc w:val="right"/>
      <w:pPr>
        <w:ind w:left="6934" w:hanging="180"/>
      </w:pPr>
    </w:lvl>
  </w:abstractNum>
  <w:abstractNum w:abstractNumId="41">
    <w:nsid w:val="00000029"/>
    <w:multiLevelType w:val="hybridMultilevel"/>
    <w:tmpl w:val="99F0FB1A"/>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0000002A"/>
    <w:multiLevelType w:val="hybridMultilevel"/>
    <w:tmpl w:val="6CEAE6F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nsid w:val="0000002B"/>
    <w:multiLevelType w:val="hybridMultilevel"/>
    <w:tmpl w:val="EAE87C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0000002C"/>
    <w:multiLevelType w:val="multilevel"/>
    <w:tmpl w:val="EBC46D2E"/>
    <w:lvl w:ilvl="0">
      <w:start w:val="3"/>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45">
    <w:nsid w:val="0000002D"/>
    <w:multiLevelType w:val="hybridMultilevel"/>
    <w:tmpl w:val="F306AC78"/>
    <w:lvl w:ilvl="0" w:tplc="D3145CB4">
      <w:start w:val="1"/>
      <w:numFmt w:val="decimal"/>
      <w:pStyle w:val="style4113"/>
      <w:lvlText w:val="%1."/>
      <w:lvlJc w:val="left"/>
      <w:pPr>
        <w:ind w:left="720" w:hanging="360"/>
      </w:pPr>
      <w:rPr>
        <w:rFonts w:ascii="Arial" w:hAnsi="Arial" w:hint="default"/>
        <w:b w:val="false"/>
        <w:i w:val="false"/>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0000002E"/>
    <w:multiLevelType w:val="hybridMultilevel"/>
    <w:tmpl w:val="8B608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0000002F"/>
    <w:multiLevelType w:val="hybridMultilevel"/>
    <w:tmpl w:val="4768D0FC"/>
    <w:lvl w:ilvl="0" w:tplc="7EFC1970">
      <w:start w:val="1"/>
      <w:numFmt w:val="bullet"/>
      <w:lvlText w:val=""/>
      <w:lvlJc w:val="left"/>
      <w:pPr>
        <w:ind w:left="720" w:hanging="360"/>
      </w:pPr>
      <w:rPr>
        <w:rFonts w:ascii="Wingdings" w:hAnsi="Wingdings" w:hint="default"/>
        <w:color w:val="c45911"/>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00000030"/>
    <w:multiLevelType w:val="hybridMultilevel"/>
    <w:tmpl w:val="89CE4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0"/>
  </w:num>
  <w:num w:numId="2">
    <w:abstractNumId w:val="28"/>
  </w:num>
  <w:num w:numId="3">
    <w:abstractNumId w:val="45"/>
  </w:num>
  <w:num w:numId="4">
    <w:abstractNumId w:val="35"/>
  </w:num>
  <w:num w:numId="5">
    <w:abstractNumId w:val="46"/>
  </w:num>
  <w:num w:numId="6">
    <w:abstractNumId w:val="38"/>
  </w:num>
  <w:num w:numId="7">
    <w:abstractNumId w:val="17"/>
  </w:num>
  <w:num w:numId="8">
    <w:abstractNumId w:val="18"/>
  </w:num>
  <w:num w:numId="9">
    <w:abstractNumId w:val="2"/>
  </w:num>
  <w:num w:numId="10">
    <w:abstractNumId w:val="24"/>
  </w:num>
  <w:num w:numId="11">
    <w:abstractNumId w:val="42"/>
  </w:num>
  <w:num w:numId="12">
    <w:abstractNumId w:val="30"/>
  </w:num>
  <w:num w:numId="13">
    <w:abstractNumId w:val="34"/>
  </w:num>
  <w:num w:numId="14">
    <w:abstractNumId w:val="5"/>
  </w:num>
  <w:num w:numId="1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8"/>
  </w:num>
  <w:num w:numId="17">
    <w:abstractNumId w:val="23"/>
  </w:num>
  <w:num w:numId="18">
    <w:abstractNumId w:val="44"/>
  </w:num>
  <w:num w:numId="19">
    <w:abstractNumId w:val="27"/>
  </w:num>
  <w:num w:numId="20">
    <w:abstractNumId w:val="13"/>
  </w:num>
  <w:num w:numId="21">
    <w:abstractNumId w:val="3"/>
  </w:num>
  <w:num w:numId="22">
    <w:abstractNumId w:val="14"/>
  </w:num>
  <w:num w:numId="23">
    <w:abstractNumId w:val="33"/>
  </w:num>
  <w:num w:numId="24">
    <w:abstractNumId w:val="32"/>
  </w:num>
  <w:num w:numId="25">
    <w:abstractNumId w:val="11"/>
  </w:num>
  <w:num w:numId="26">
    <w:abstractNumId w:val="7"/>
  </w:num>
  <w:num w:numId="27">
    <w:abstractNumId w:val="29"/>
  </w:num>
  <w:num w:numId="28">
    <w:abstractNumId w:val="19"/>
  </w:num>
  <w:num w:numId="29">
    <w:abstractNumId w:val="37"/>
  </w:num>
  <w:num w:numId="30">
    <w:abstractNumId w:val="16"/>
  </w:num>
  <w:num w:numId="31">
    <w:abstractNumId w:val="43"/>
  </w:num>
  <w:num w:numId="32">
    <w:abstractNumId w:val="8"/>
  </w:num>
  <w:num w:numId="33">
    <w:abstractNumId w:val="22"/>
  </w:num>
  <w:num w:numId="34">
    <w:abstractNumId w:val="20"/>
  </w:num>
  <w:num w:numId="35">
    <w:abstractNumId w:val="1"/>
  </w:num>
  <w:num w:numId="36">
    <w:abstractNumId w:val="10"/>
  </w:num>
  <w:num w:numId="37">
    <w:abstractNumId w:val="12"/>
  </w:num>
  <w:num w:numId="38">
    <w:abstractNumId w:val="26"/>
  </w:num>
  <w:num w:numId="39">
    <w:abstractNumId w:val="9"/>
  </w:num>
  <w:num w:numId="40">
    <w:abstractNumId w:val="47"/>
  </w:num>
  <w:num w:numId="41">
    <w:abstractNumId w:val="0"/>
  </w:num>
  <w:num w:numId="42">
    <w:abstractNumId w:val="15"/>
  </w:num>
  <w:num w:numId="43">
    <w:abstractNumId w:val="39"/>
  </w:num>
  <w:num w:numId="44">
    <w:abstractNumId w:val="41"/>
  </w:num>
  <w:num w:numId="45">
    <w:abstractNumId w:val="21"/>
  </w:num>
  <w:num w:numId="46">
    <w:abstractNumId w:val="36"/>
  </w:num>
  <w:num w:numId="47">
    <w:abstractNumId w:val="25"/>
  </w:num>
  <w:num w:numId="48">
    <w:abstractNumId w:val="6"/>
  </w:num>
  <w:num w:numId="49">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200"/>
  <w:proofState w:spelling="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SimSun"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rPr>
      <w:rFonts w:cs="Times New Roman"/>
    </w:rPr>
  </w:style>
  <w:style w:type="paragraph" w:styleId="style1">
    <w:name w:val="heading 1"/>
    <w:basedOn w:val="style0"/>
    <w:next w:val="style0"/>
    <w:link w:val="style4129"/>
    <w:qFormat/>
    <w:uiPriority w:val="9"/>
    <w:pPr>
      <w:spacing w:before="120" w:after="360" w:lineRule="auto" w:line="264"/>
      <w:outlineLvl w:val="0"/>
    </w:pPr>
    <w:rPr>
      <w:rFonts w:ascii="Georgia" w:cs="Calibri" w:hAnsi="Georgia"/>
      <w:i/>
      <w:iCs/>
      <w:color w:val="833c0b"/>
      <w:sz w:val="48"/>
      <w:szCs w:val="48"/>
    </w:rPr>
  </w:style>
  <w:style w:type="paragraph" w:styleId="style3">
    <w:name w:val="heading 3"/>
    <w:basedOn w:val="style0"/>
    <w:next w:val="style0"/>
    <w:link w:val="style4130"/>
    <w:qFormat/>
    <w:uiPriority w:val="9"/>
    <w:pPr>
      <w:keepNext/>
      <w:keepLines/>
      <w:spacing w:before="40" w:after="0"/>
      <w:outlineLvl w:val="2"/>
    </w:pPr>
    <w:rPr>
      <w:rFonts w:ascii="Calibri Light" w:cs="SimSun" w:eastAsia="SimSun" w:hAnsi="Calibri Light"/>
      <w:color w:val="1f4d78"/>
      <w:sz w:val="24"/>
      <w:szCs w:val="24"/>
    </w:rPr>
  </w:style>
  <w:style w:type="paragraph" w:styleId="style5">
    <w:name w:val="heading 5"/>
    <w:basedOn w:val="style0"/>
    <w:next w:val="style0"/>
    <w:link w:val="style4132"/>
    <w:qFormat/>
    <w:uiPriority w:val="9"/>
    <w:pPr>
      <w:keepNext/>
      <w:keepLines/>
      <w:spacing w:before="40" w:after="0"/>
      <w:outlineLvl w:val="4"/>
    </w:pPr>
    <w:rPr>
      <w:rFonts w:ascii="Cambria" w:cs="Times New Roman" w:eastAsia="宋体" w:hAnsi="Cambria"/>
      <w:color w:val="365f91"/>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customStyle="1" w:styleId="style4097">
    <w:name w:val="1. Subhead Box"/>
    <w:basedOn w:val="style0"/>
    <w:next w:val="style4097"/>
    <w:qFormat/>
    <w:pPr>
      <w:spacing w:after="0" w:lineRule="auto" w:line="240"/>
    </w:pPr>
    <w:rPr>
      <w:rFonts w:ascii="Arial" w:cs="Arial" w:eastAsia="Times New Roman" w:hAnsi="Arial"/>
      <w:b/>
      <w:caps/>
      <w:sz w:val="24"/>
      <w:szCs w:val="24"/>
      <w:lang w:eastAsia="en-GB"/>
    </w:rPr>
  </w:style>
  <w:style w:type="paragraph" w:customStyle="1" w:styleId="style4098">
    <w:name w:val="1. No Subhead 10pt"/>
    <w:basedOn w:val="style0"/>
    <w:next w:val="style4098"/>
    <w:qFormat/>
    <w:pPr>
      <w:numPr>
        <w:ilvl w:val="0"/>
        <w:numId w:val="1"/>
      </w:numPr>
      <w:spacing w:before="240" w:after="120" w:lineRule="auto" w:line="240"/>
    </w:pPr>
    <w:rPr>
      <w:rFonts w:ascii="Arial Bold" w:hAnsi="Arial Bold"/>
      <w:b/>
      <w:sz w:val="20"/>
    </w:rPr>
  </w:style>
  <w:style w:type="paragraph" w:customStyle="1" w:styleId="style4099">
    <w:name w:val="1. Table split text"/>
    <w:basedOn w:val="style0"/>
    <w:next w:val="style4099"/>
    <w:qFormat/>
    <w:pPr>
      <w:spacing w:after="0" w:lineRule="auto" w:line="240"/>
    </w:pPr>
    <w:rPr>
      <w:sz w:val="16"/>
    </w:rPr>
  </w:style>
  <w:style w:type="paragraph" w:customStyle="1" w:styleId="style4100">
    <w:name w:val="1. Body Text 10pt"/>
    <w:basedOn w:val="style0"/>
    <w:next w:val="style4100"/>
    <w:qFormat/>
    <w:pPr>
      <w:spacing w:before="60" w:after="60" w:lineRule="auto" w:line="240"/>
    </w:pPr>
    <w:rPr>
      <w:rFonts w:ascii="Arial" w:hAnsi="Arial"/>
      <w:sz w:val="20"/>
    </w:rPr>
  </w:style>
  <w:style w:type="paragraph" w:customStyle="1" w:styleId="style4101">
    <w:name w:val="1. Table Text"/>
    <w:basedOn w:val="style0"/>
    <w:next w:val="style4101"/>
    <w:qFormat/>
    <w:pPr>
      <w:spacing w:before="120" w:after="120" w:lineRule="auto" w:line="240"/>
    </w:pPr>
    <w:rPr>
      <w:rFonts w:ascii="Arial" w:eastAsia="Times New Roman" w:hAnsi="Arial"/>
      <w:sz w:val="20"/>
    </w:rPr>
  </w:style>
  <w:style w:type="paragraph" w:customStyle="1" w:styleId="style4102">
    <w:name w:val="1. Table Text Bold"/>
    <w:basedOn w:val="style4101"/>
    <w:next w:val="style4102"/>
    <w:qFormat/>
    <w:pPr/>
    <w:rPr>
      <w:b/>
      <w:noProof/>
    </w:rPr>
  </w:style>
  <w:style w:type="paragraph" w:customStyle="1" w:styleId="style4103">
    <w:name w:val="1. Body Text"/>
    <w:basedOn w:val="style0"/>
    <w:next w:val="style4103"/>
    <w:qFormat/>
    <w:pPr>
      <w:spacing w:before="120" w:after="120" w:lineRule="auto" w:line="240"/>
    </w:pPr>
    <w:rPr>
      <w:rFonts w:ascii="Arial" w:hAnsi="Arial"/>
      <w:sz w:val="20"/>
    </w:rPr>
  </w:style>
  <w:style w:type="paragraph" w:customStyle="1" w:styleId="style4104">
    <w:name w:val="1. Section head"/>
    <w:basedOn w:val="style0"/>
    <w:next w:val="style4104"/>
    <w:qFormat/>
    <w:pPr>
      <w:spacing w:before="120" w:after="120"/>
    </w:pPr>
    <w:rPr>
      <w:rFonts w:ascii="Arial Bold" w:hAnsi="Arial Bold"/>
      <w:b/>
      <w:sz w:val="24"/>
    </w:rPr>
  </w:style>
  <w:style w:type="paragraph" w:customStyle="1" w:styleId="style4105">
    <w:name w:val="1. Bullet Text"/>
    <w:basedOn w:val="style4103"/>
    <w:next w:val="style4105"/>
    <w:qFormat/>
    <w:pPr>
      <w:numPr>
        <w:ilvl w:val="0"/>
        <w:numId w:val="2"/>
      </w:numPr>
      <w:ind w:left="357" w:hanging="357"/>
    </w:pPr>
    <w:rPr>
      <w:rFonts w:eastAsia="Times New Roman"/>
    </w:rPr>
  </w:style>
  <w:style w:type="character" w:styleId="style39">
    <w:name w:val="annotation reference"/>
    <w:next w:val="style39"/>
    <w:uiPriority w:val="99"/>
    <w:rPr>
      <w:sz w:val="16"/>
      <w:szCs w:val="16"/>
    </w:rPr>
  </w:style>
  <w:style w:type="paragraph" w:styleId="style30">
    <w:name w:val="annotation text"/>
    <w:basedOn w:val="style0"/>
    <w:next w:val="style30"/>
    <w:link w:val="style4106"/>
    <w:uiPriority w:val="99"/>
    <w:pPr/>
    <w:rPr>
      <w:sz w:val="20"/>
      <w:szCs w:val="20"/>
    </w:rPr>
  </w:style>
  <w:style w:type="character" w:customStyle="1" w:styleId="style4106">
    <w:name w:val="Comment Text Char"/>
    <w:basedOn w:val="style65"/>
    <w:next w:val="style4106"/>
    <w:link w:val="style30"/>
    <w:uiPriority w:val="99"/>
    <w:rPr>
      <w:rFonts w:ascii="Calibri" w:cs="Times New Roman" w:eastAsia="Calibri" w:hAnsi="Calibri"/>
      <w:sz w:val="20"/>
      <w:szCs w:val="20"/>
    </w:rPr>
  </w:style>
  <w:style w:type="paragraph" w:styleId="style32">
    <w:name w:val="footer"/>
    <w:basedOn w:val="style0"/>
    <w:next w:val="style32"/>
    <w:link w:val="style4107"/>
    <w:uiPriority w:val="99"/>
    <w:pPr>
      <w:tabs>
        <w:tab w:val="center" w:leader="none" w:pos="4513"/>
        <w:tab w:val="right" w:leader="none" w:pos="9026"/>
      </w:tabs>
      <w:spacing w:after="0" w:lineRule="auto" w:line="240"/>
    </w:pPr>
    <w:rPr/>
  </w:style>
  <w:style w:type="character" w:customStyle="1" w:styleId="style4107">
    <w:name w:val="Footer Char_5668e0d2-8ef3-4d39-b331-cb25a182d769"/>
    <w:basedOn w:val="style65"/>
    <w:next w:val="style4107"/>
    <w:link w:val="style32"/>
    <w:uiPriority w:val="99"/>
    <w:rPr>
      <w:rFonts w:ascii="Calibri" w:cs="Times New Roman" w:eastAsia="Calibri" w:hAnsi="Calibri"/>
    </w:rPr>
  </w:style>
  <w:style w:type="character" w:styleId="style41">
    <w:name w:val="page number"/>
    <w:basedOn w:val="style65"/>
    <w:next w:val="style41"/>
    <w:uiPriority w:val="99"/>
  </w:style>
  <w:style w:type="paragraph" w:customStyle="1" w:styleId="style4108">
    <w:name w:val="1. AC IC"/>
    <w:basedOn w:val="style0"/>
    <w:next w:val="style4108"/>
    <w:qFormat/>
    <w:pPr>
      <w:suppressAutoHyphens/>
      <w:autoSpaceDN w:val="false"/>
      <w:spacing w:before="120" w:after="120" w:lineRule="auto" w:line="240"/>
      <w:textAlignment w:val="baseline"/>
    </w:pPr>
    <w:rPr>
      <w:rFonts w:ascii="Arial" w:cs="Arial" w:hAnsi="Arial"/>
      <w:sz w:val="20"/>
    </w:rPr>
  </w:style>
  <w:style w:type="paragraph" w:customStyle="1" w:styleId="style4109">
    <w:name w:val="1. ACs"/>
    <w:basedOn w:val="style0"/>
    <w:next w:val="style4109"/>
    <w:qFormat/>
    <w:pPr>
      <w:tabs>
        <w:tab w:val="left" w:leader="none" w:pos="624"/>
      </w:tabs>
      <w:spacing w:before="120" w:after="120" w:lineRule="auto" w:line="240"/>
      <w:ind w:left="369" w:hanging="369"/>
    </w:pPr>
    <w:rPr>
      <w:rFonts w:ascii="Arial" w:hAnsi="Arial"/>
    </w:rPr>
  </w:style>
  <w:style w:type="paragraph" w:styleId="style153">
    <w:name w:val="Balloon Text"/>
    <w:basedOn w:val="style0"/>
    <w:next w:val="style153"/>
    <w:link w:val="style4110"/>
    <w:uiPriority w:val="99"/>
    <w:pPr>
      <w:spacing w:after="0" w:lineRule="auto" w:line="240"/>
    </w:pPr>
    <w:rPr>
      <w:rFonts w:ascii="Segoe UI" w:cs="Segoe UI" w:hAnsi="Segoe UI"/>
      <w:sz w:val="18"/>
      <w:szCs w:val="18"/>
    </w:rPr>
  </w:style>
  <w:style w:type="character" w:customStyle="1" w:styleId="style4110">
    <w:name w:val="Balloon Text Char"/>
    <w:basedOn w:val="style65"/>
    <w:next w:val="style4110"/>
    <w:link w:val="style153"/>
    <w:uiPriority w:val="99"/>
    <w:rPr>
      <w:rFonts w:ascii="Segoe UI" w:cs="Segoe UI" w:eastAsia="Calibri" w:hAnsi="Segoe UI"/>
      <w:sz w:val="18"/>
      <w:szCs w:val="18"/>
    </w:rPr>
  </w:style>
  <w:style w:type="paragraph" w:styleId="style31">
    <w:name w:val="header"/>
    <w:basedOn w:val="style0"/>
    <w:next w:val="style31"/>
    <w:link w:val="style4111"/>
    <w:uiPriority w:val="99"/>
    <w:pPr>
      <w:tabs>
        <w:tab w:val="center" w:leader="none" w:pos="4513"/>
        <w:tab w:val="right" w:leader="none" w:pos="9026"/>
      </w:tabs>
      <w:spacing w:after="0" w:lineRule="auto" w:line="240"/>
    </w:pPr>
    <w:rPr/>
  </w:style>
  <w:style w:type="character" w:customStyle="1" w:styleId="style4111">
    <w:name w:val="Header Char_7263e4de-1f47-4bb0-807e-346a3e7f4442"/>
    <w:basedOn w:val="style65"/>
    <w:next w:val="style4111"/>
    <w:link w:val="style31"/>
    <w:uiPriority w:val="99"/>
    <w:rPr>
      <w:rFonts w:ascii="Calibri" w:cs="Times New Roman" w:eastAsia="Calibri" w:hAnsi="Calibri"/>
    </w:rPr>
  </w:style>
  <w:style w:type="paragraph" w:styleId="style179">
    <w:name w:val="List Paragraph"/>
    <w:basedOn w:val="style0"/>
    <w:next w:val="style179"/>
    <w:link w:val="style4126"/>
    <w:qFormat/>
    <w:uiPriority w:val="34"/>
    <w:pPr>
      <w:ind w:left="720"/>
      <w:contextualSpacing/>
    </w:pPr>
    <w:rPr/>
  </w:style>
  <w:style w:type="paragraph" w:customStyle="1" w:styleId="style4112">
    <w:name w:val="1. AC"/>
    <w:basedOn w:val="style0"/>
    <w:next w:val="style4112"/>
    <w:qFormat/>
    <w:pPr>
      <w:autoSpaceDE w:val="false"/>
      <w:autoSpaceDN w:val="false"/>
      <w:adjustRightInd w:val="false"/>
      <w:spacing w:before="120" w:after="120" w:lineRule="auto" w:line="240"/>
      <w:ind w:left="357" w:hanging="357"/>
    </w:pPr>
    <w:rPr>
      <w:rFonts w:ascii="Arial" w:cs="Arial" w:eastAsia="Arial" w:hAnsi="Arial"/>
      <w:lang w:eastAsia="en-GB"/>
    </w:rPr>
  </w:style>
  <w:style w:type="paragraph" w:customStyle="1" w:styleId="style4113">
    <w:name w:val="1. No Sub Head"/>
    <w:basedOn w:val="style0"/>
    <w:next w:val="style4113"/>
    <w:qFormat/>
    <w:pPr>
      <w:numPr>
        <w:ilvl w:val="0"/>
        <w:numId w:val="3"/>
      </w:numPr>
      <w:spacing w:before="240" w:after="120" w:lineRule="auto" w:line="240"/>
      <w:ind w:left="357" w:hanging="357"/>
    </w:pPr>
    <w:rPr>
      <w:rFonts w:ascii="Arial" w:eastAsia="Times New Roman" w:hAnsi="Arial"/>
      <w:b/>
      <w:lang w:eastAsia="en-GB"/>
    </w:rPr>
  </w:style>
  <w:style w:type="paragraph" w:customStyle="1" w:styleId="style4114">
    <w:name w:val="Default"/>
    <w:next w:val="style4114"/>
    <w:pPr>
      <w:autoSpaceDE w:val="false"/>
      <w:autoSpaceDN w:val="false"/>
      <w:adjustRightInd w:val="false"/>
      <w:spacing w:after="0" w:lineRule="auto" w:line="240"/>
    </w:pPr>
    <w:rPr>
      <w:rFonts w:ascii="Arial" w:cs="Arial" w:hAnsi="Arial"/>
      <w:color w:val="000000"/>
      <w:sz w:val="24"/>
      <w:szCs w:val="24"/>
    </w:rPr>
  </w:style>
  <w:style w:type="table" w:styleId="style154">
    <w:name w:val="Table Grid"/>
    <w:basedOn w:val="style105"/>
    <w:next w:val="style154"/>
    <w:uiPriority w:val="39"/>
    <w:pPr>
      <w:spacing w:after="0" w:lineRule="auto" w:line="240"/>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customStyle="1" w:styleId="style4115">
    <w:name w:val="Pa9"/>
    <w:basedOn w:val="style4114"/>
    <w:next w:val="style4114"/>
    <w:uiPriority w:val="99"/>
    <w:pPr>
      <w:spacing w:lineRule="atLeast" w:line="261"/>
    </w:pPr>
    <w:rPr>
      <w:rFonts w:ascii="Gotham Black" w:cs="SimSun" w:hAnsi="Gotham Black"/>
      <w:color w:val="auto"/>
    </w:rPr>
  </w:style>
  <w:style w:type="paragraph" w:customStyle="1" w:styleId="style4116">
    <w:name w:val="Pa10"/>
    <w:basedOn w:val="style4114"/>
    <w:next w:val="style4114"/>
    <w:uiPriority w:val="99"/>
    <w:pPr>
      <w:spacing w:lineRule="atLeast" w:line="221"/>
    </w:pPr>
    <w:rPr>
      <w:rFonts w:ascii="Gotham Black" w:cs="SimSun" w:hAnsi="Gotham Black"/>
      <w:color w:val="auto"/>
    </w:rPr>
  </w:style>
  <w:style w:type="paragraph" w:customStyle="1" w:styleId="style4117">
    <w:name w:val="Pa13"/>
    <w:basedOn w:val="style4114"/>
    <w:next w:val="style4114"/>
    <w:uiPriority w:val="99"/>
    <w:pPr>
      <w:spacing w:lineRule="atLeast" w:line="241"/>
    </w:pPr>
    <w:rPr>
      <w:rFonts w:ascii="Gotham Medium" w:cs="SimSun" w:hAnsi="Gotham Medium"/>
      <w:color w:val="auto"/>
    </w:rPr>
  </w:style>
  <w:style w:type="character" w:customStyle="1" w:styleId="style4118">
    <w:name w:val="A7"/>
    <w:next w:val="style4118"/>
    <w:uiPriority w:val="99"/>
    <w:rPr>
      <w:rFonts w:ascii="GWJAPF+ZapfDingbatsITC" w:cs="GWJAPF+ZapfDingbatsITC" w:hAnsi="GWJAPF+ZapfDingbatsITC"/>
      <w:color w:val="949698"/>
      <w:sz w:val="12"/>
      <w:szCs w:val="12"/>
    </w:rPr>
  </w:style>
  <w:style w:type="paragraph" w:styleId="style106">
    <w:name w:val="annotation subject"/>
    <w:basedOn w:val="style30"/>
    <w:next w:val="style30"/>
    <w:link w:val="style4119"/>
    <w:uiPriority w:val="99"/>
    <w:pPr>
      <w:spacing w:lineRule="auto" w:line="240"/>
    </w:pPr>
    <w:rPr>
      <w:b/>
      <w:bCs/>
    </w:rPr>
  </w:style>
  <w:style w:type="character" w:customStyle="1" w:styleId="style4119">
    <w:name w:val="Comment Subject Char"/>
    <w:basedOn w:val="style4106"/>
    <w:next w:val="style4119"/>
    <w:link w:val="style106"/>
    <w:uiPriority w:val="99"/>
    <w:rPr>
      <w:rFonts w:ascii="Calibri" w:cs="Times New Roman" w:eastAsia="Calibri" w:hAnsi="Calibri"/>
      <w:b/>
      <w:bCs/>
      <w:sz w:val="20"/>
      <w:szCs w:val="20"/>
    </w:rPr>
  </w:style>
  <w:style w:type="character" w:styleId="style85">
    <w:name w:val="Hyperlink"/>
    <w:basedOn w:val="style65"/>
    <w:next w:val="style85"/>
    <w:uiPriority w:val="99"/>
    <w:rPr>
      <w:color w:val="0563c1"/>
      <w:u w:val="single"/>
    </w:rPr>
  </w:style>
  <w:style w:type="paragraph" w:customStyle="1" w:styleId="style4120">
    <w:name w:val="Nornal"/>
    <w:basedOn w:val="style0"/>
    <w:next w:val="style4120"/>
    <w:link w:val="style4121"/>
    <w:qFormat/>
    <w:pPr>
      <w:autoSpaceDE w:val="false"/>
      <w:autoSpaceDN w:val="false"/>
      <w:adjustRightInd w:val="false"/>
      <w:jc w:val="both"/>
    </w:pPr>
    <w:rPr>
      <w:rFonts w:cs="Calibri"/>
      <w:color w:val="000000"/>
      <w:szCs w:val="24"/>
    </w:rPr>
  </w:style>
  <w:style w:type="character" w:customStyle="1" w:styleId="style4121">
    <w:name w:val="Nornal Char"/>
    <w:basedOn w:val="style65"/>
    <w:next w:val="style4121"/>
    <w:link w:val="style4120"/>
    <w:rPr>
      <w:rFonts w:cs="Calibri"/>
      <w:color w:val="000000"/>
      <w:szCs w:val="24"/>
    </w:rPr>
  </w:style>
  <w:style w:type="paragraph" w:styleId="style66">
    <w:name w:val="Body Text"/>
    <w:basedOn w:val="style0"/>
    <w:next w:val="style66"/>
    <w:link w:val="style4122"/>
    <w:qFormat/>
    <w:uiPriority w:val="1"/>
    <w:pPr>
      <w:widowControl w:val="false"/>
      <w:autoSpaceDE w:val="false"/>
      <w:autoSpaceDN w:val="false"/>
      <w:spacing w:after="0" w:lineRule="auto" w:line="240"/>
    </w:pPr>
    <w:rPr>
      <w:rFonts w:ascii="Arial" w:cs="Arial" w:eastAsia="Arial" w:hAnsi="Arial"/>
    </w:rPr>
  </w:style>
  <w:style w:type="character" w:customStyle="1" w:styleId="style4122">
    <w:name w:val="Body Text Char"/>
    <w:basedOn w:val="style65"/>
    <w:next w:val="style4122"/>
    <w:link w:val="style66"/>
    <w:uiPriority w:val="1"/>
    <w:rPr>
      <w:rFonts w:ascii="Arial" w:cs="Arial" w:eastAsia="Arial" w:hAnsi="Arial"/>
    </w:rPr>
  </w:style>
  <w:style w:type="paragraph" w:customStyle="1" w:styleId="style4123">
    <w:name w:val="Question text"/>
    <w:basedOn w:val="style0"/>
    <w:next w:val="style4123"/>
    <w:pPr>
      <w:tabs>
        <w:tab w:val="left" w:leader="none" w:pos="567"/>
        <w:tab w:val="left" w:leader="none" w:pos="1140"/>
        <w:tab w:val="left" w:leader="none" w:pos="1700"/>
        <w:tab w:val="left" w:leader="none" w:pos="2260"/>
      </w:tabs>
      <w:spacing w:after="240" w:lineRule="exact" w:line="280"/>
      <w:ind w:left="289" w:right="289"/>
      <w:jc w:val="both"/>
    </w:pPr>
    <w:rPr>
      <w:rFonts w:ascii="Geneva" w:cs="SimSun" w:hAnsi="Geneva"/>
      <w:sz w:val="24"/>
      <w:szCs w:val="24"/>
    </w:rPr>
  </w:style>
  <w:style w:type="paragraph" w:customStyle="1" w:styleId="style4124">
    <w:name w:val="List parag"/>
    <w:basedOn w:val="style179"/>
    <w:next w:val="style4124"/>
    <w:link w:val="style4125"/>
    <w:qFormat/>
    <w:pPr>
      <w:spacing w:after="120" w:lineRule="auto" w:line="264"/>
      <w:ind w:left="0"/>
      <w:contextualSpacing w:val="false"/>
    </w:pPr>
    <w:rPr>
      <w:rFonts w:ascii="Arial" w:cs="Arial" w:eastAsia="Times New Roman" w:hAnsi="Arial"/>
      <w:szCs w:val="24"/>
      <w:lang w:eastAsia="en-GB"/>
    </w:rPr>
  </w:style>
  <w:style w:type="character" w:customStyle="1" w:styleId="style4125">
    <w:name w:val="List parag Char"/>
    <w:basedOn w:val="style65"/>
    <w:next w:val="style4125"/>
    <w:link w:val="style4124"/>
    <w:rPr>
      <w:rFonts w:ascii="Arial" w:cs="Arial" w:eastAsia="Times New Roman" w:hAnsi="Arial"/>
      <w:szCs w:val="24"/>
      <w:lang w:eastAsia="en-GB"/>
    </w:rPr>
  </w:style>
  <w:style w:type="character" w:customStyle="1" w:styleId="style4126">
    <w:name w:val="List Paragraph Char"/>
    <w:basedOn w:val="style65"/>
    <w:next w:val="style4126"/>
    <w:link w:val="style179"/>
    <w:uiPriority w:val="34"/>
    <w:rPr>
      <w:rFonts w:ascii="Calibri" w:cs="Times New Roman" w:eastAsia="Calibri" w:hAnsi="Calibri"/>
    </w:rPr>
  </w:style>
  <w:style w:type="character" w:customStyle="1" w:styleId="style4127">
    <w:name w:val="cf01"/>
    <w:basedOn w:val="style65"/>
    <w:next w:val="style4127"/>
    <w:rPr>
      <w:rFonts w:ascii="Segoe UI" w:cs="Segoe UI" w:hAnsi="Segoe UI" w:hint="default"/>
      <w:sz w:val="18"/>
      <w:szCs w:val="18"/>
    </w:rPr>
  </w:style>
  <w:style w:type="character" w:customStyle="1" w:styleId="style4128">
    <w:name w:val="Unresolved Mention1"/>
    <w:basedOn w:val="style65"/>
    <w:next w:val="style4128"/>
    <w:uiPriority w:val="99"/>
    <w:rPr>
      <w:color w:val="605e5c"/>
      <w:shd w:val="clear" w:color="auto" w:fill="e1dfdd"/>
    </w:rPr>
  </w:style>
  <w:style w:type="character" w:customStyle="1" w:styleId="style4129">
    <w:name w:val="Heading 1 Char_2fd5d76b-c5b5-47bb-9bef-f6e10ad497d0"/>
    <w:basedOn w:val="style65"/>
    <w:next w:val="style4129"/>
    <w:link w:val="style1"/>
    <w:uiPriority w:val="9"/>
    <w:rPr>
      <w:rFonts w:ascii="Georgia" w:cs="Calibri" w:hAnsi="Georgia"/>
      <w:i/>
      <w:iCs/>
      <w:color w:val="833c0b"/>
      <w:sz w:val="48"/>
      <w:szCs w:val="48"/>
    </w:rPr>
  </w:style>
  <w:style w:type="paragraph" w:styleId="style34">
    <w:name w:val="caption"/>
    <w:basedOn w:val="style0"/>
    <w:next w:val="style0"/>
    <w:qFormat/>
    <w:uiPriority w:val="35"/>
    <w:pPr>
      <w:widowControl w:val="false"/>
      <w:autoSpaceDE w:val="false"/>
      <w:autoSpaceDN w:val="false"/>
      <w:spacing w:after="200" w:lineRule="auto" w:line="240"/>
    </w:pPr>
    <w:rPr>
      <w:rFonts w:ascii="Arial" w:cs="Arial" w:eastAsia="Arial" w:hAnsi="Arial"/>
      <w:i/>
      <w:iCs/>
      <w:color w:val="44546a"/>
      <w:sz w:val="18"/>
      <w:szCs w:val="18"/>
    </w:rPr>
  </w:style>
  <w:style w:type="character" w:customStyle="1" w:styleId="style4130">
    <w:name w:val="Heading 3 Char_4b602c17-4d57-473a-be4e-9a99a13186e8"/>
    <w:basedOn w:val="style65"/>
    <w:next w:val="style4130"/>
    <w:link w:val="style3"/>
    <w:uiPriority w:val="9"/>
    <w:rPr>
      <w:rFonts w:ascii="Calibri Light" w:cs="SimSun" w:eastAsia="SimSun" w:hAnsi="Calibri Light"/>
      <w:color w:val="1f4d78"/>
      <w:sz w:val="24"/>
      <w:szCs w:val="24"/>
    </w:rPr>
  </w:style>
  <w:style w:type="character" w:customStyle="1" w:styleId="style4131">
    <w:name w:val="normaltextrun"/>
    <w:basedOn w:val="style65"/>
    <w:next w:val="style4131"/>
  </w:style>
  <w:style w:type="character" w:customStyle="1" w:styleId="style4132">
    <w:name w:val="Heading 5 Char_2d6c348c-9851-4ab5-b883-cd80699a4042"/>
    <w:basedOn w:val="style65"/>
    <w:next w:val="style4132"/>
    <w:link w:val="style5"/>
    <w:uiPriority w:val="9"/>
    <w:rPr>
      <w:rFonts w:ascii="Cambria" w:cs="Times New Roman" w:eastAsia="宋体" w:hAnsi="Cambria"/>
      <w:color w:val="365f91"/>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image" Target="media/image2.emf"/><Relationship Id="rId9" Type="http://schemas.openxmlformats.org/officeDocument/2006/relationships/customXml" Target="../customXml/item1.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_rels/footer1.xml.rels><?xml version="1.0" encoding="UTF-8"?>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E73C5-6041-41CC-88B5-9FB308E2D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Words>11000</Words>
  <Pages>30</Pages>
  <Characters>61327</Characters>
  <Application>WPS Office</Application>
  <DocSecurity>0</DocSecurity>
  <Paragraphs>648</Paragraphs>
  <ScaleCrop>false</ScaleCrop>
  <Company>LTE Group</Company>
  <LinksUpToDate>false</LinksUpToDate>
  <CharactersWithSpaces>72067</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2025-11-19T13:42:00Z</dcterms:created>
  <dc:creator>Elaine Frieman</dc:creator>
  <lastModifiedBy>motorola edge 50</lastModifiedBy>
  <lastPrinted>2022-10-20T14:36:00Z</lastPrinted>
  <dcterms:modified xsi:type="dcterms:W3CDTF">2025-12-31T18:46:10Z</dcterms:modified>
  <revision>8</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ac52567b0d05421881b1b502a70fff4c</vt:lpwstr>
  </property>
</Properties>
</file>